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rPr>
          <w:b/>
          <w:kern w:val="0"/>
          <w:sz w:val="32"/>
          <w:szCs w:val="32"/>
        </w:rPr>
      </w:pPr>
      <w:bookmarkStart w:id="0" w:name="_Toc113763961"/>
      <w:bookmarkStart w:id="1" w:name="_Toc111120821"/>
      <w:bookmarkStart w:id="2" w:name="_Toc111967895"/>
      <w:r>
        <w:rPr>
          <w:rFonts w:hint="eastAsia"/>
          <w:b/>
          <w:kern w:val="0"/>
          <w:sz w:val="32"/>
          <w:szCs w:val="32"/>
        </w:rPr>
        <w:t>目录</w:t>
      </w:r>
    </w:p>
    <w:p>
      <w:pPr>
        <w:pStyle w:val="33"/>
        <w:spacing w:before="156"/>
        <w:rPr>
          <w:rFonts w:asciiTheme="minorHAnsi" w:hAnsiTheme="minorHAnsi" w:eastAsiaTheme="minorEastAsia" w:cstheme="minorBidi"/>
          <w:b w:val="0"/>
          <w:bCs w:val="0"/>
          <w:caps w:val="0"/>
          <w:sz w:val="21"/>
          <w:szCs w:val="22"/>
        </w:rPr>
      </w:pPr>
      <w:r>
        <w:rPr>
          <w:b w:val="0"/>
        </w:rPr>
        <w:fldChar w:fldCharType="begin"/>
      </w:r>
      <w:r>
        <w:rPr>
          <w:b w:val="0"/>
        </w:rPr>
        <w:instrText xml:space="preserve"> TOC \o "1-2" \h \z \u </w:instrText>
      </w:r>
      <w:r>
        <w:rPr>
          <w:b w:val="0"/>
        </w:rPr>
        <w:fldChar w:fldCharType="separate"/>
      </w:r>
      <w:r>
        <w:fldChar w:fldCharType="begin"/>
      </w:r>
      <w:r>
        <w:instrText xml:space="preserve"> HYPERLINK \l "_Toc492850085" </w:instrText>
      </w:r>
      <w:r>
        <w:fldChar w:fldCharType="separate"/>
      </w:r>
      <w:r>
        <w:rPr>
          <w:rStyle w:val="52"/>
          <w:rFonts w:hint="eastAsia"/>
          <w:color w:val="auto"/>
        </w:rPr>
        <w:t>第一章 总则</w:t>
      </w:r>
      <w:r>
        <w:tab/>
      </w:r>
      <w:r>
        <w:fldChar w:fldCharType="begin"/>
      </w:r>
      <w:r>
        <w:instrText xml:space="preserve"> PAGEREF _Toc492850085 \h </w:instrText>
      </w:r>
      <w:r>
        <w:fldChar w:fldCharType="separate"/>
      </w:r>
      <w:r>
        <w:t>1</w:t>
      </w:r>
      <w:r>
        <w:fldChar w:fldCharType="end"/>
      </w:r>
      <w:r>
        <w:fldChar w:fldCharType="end"/>
      </w:r>
    </w:p>
    <w:p>
      <w:pPr>
        <w:pStyle w:val="33"/>
        <w:spacing w:before="156"/>
        <w:rPr>
          <w:rFonts w:asciiTheme="minorHAnsi" w:hAnsiTheme="minorHAnsi" w:eastAsiaTheme="minorEastAsia" w:cstheme="minorBidi"/>
          <w:b w:val="0"/>
          <w:bCs w:val="0"/>
          <w:caps w:val="0"/>
          <w:sz w:val="21"/>
          <w:szCs w:val="22"/>
        </w:rPr>
      </w:pPr>
      <w:r>
        <w:fldChar w:fldCharType="begin"/>
      </w:r>
      <w:r>
        <w:instrText xml:space="preserve"> HYPERLINK \l "_Toc492850086" </w:instrText>
      </w:r>
      <w:r>
        <w:fldChar w:fldCharType="separate"/>
      </w:r>
      <w:r>
        <w:rPr>
          <w:rStyle w:val="52"/>
          <w:rFonts w:hint="eastAsia"/>
          <w:color w:val="auto"/>
        </w:rPr>
        <w:t>第二章 城市发展目标与策略</w:t>
      </w:r>
      <w:r>
        <w:tab/>
      </w:r>
      <w:r>
        <w:fldChar w:fldCharType="begin"/>
      </w:r>
      <w:r>
        <w:instrText xml:space="preserve"> PAGEREF _Toc492850086 \h </w:instrText>
      </w:r>
      <w:r>
        <w:fldChar w:fldCharType="separate"/>
      </w:r>
      <w:r>
        <w:t>4</w:t>
      </w:r>
      <w:r>
        <w:fldChar w:fldCharType="end"/>
      </w:r>
      <w: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"_Toc492850087" </w:instrText>
      </w:r>
      <w:r>
        <w:fldChar w:fldCharType="separate"/>
      </w:r>
      <w:r>
        <w:rPr>
          <w:rStyle w:val="52"/>
          <w:rFonts w:hint="eastAsia"/>
          <w:color w:val="auto"/>
        </w:rPr>
        <w:t>第一节 发展目标</w:t>
      </w:r>
      <w:r>
        <w:rPr>
          <w:color w:val="auto"/>
        </w:rPr>
        <w:tab/>
      </w:r>
      <w:r>
        <w:rPr>
          <w:color w:val="auto"/>
        </w:rPr>
        <w:fldChar w:fldCharType="begin"/>
      </w:r>
      <w:r>
        <w:rPr>
          <w:color w:val="auto"/>
        </w:rPr>
        <w:instrText xml:space="preserve"> PAGEREF _Toc492850087 \h </w:instrText>
      </w:r>
      <w:r>
        <w:rPr>
          <w:color w:val="auto"/>
        </w:rPr>
        <w:fldChar w:fldCharType="separate"/>
      </w:r>
      <w:r>
        <w:rPr>
          <w:color w:val="auto"/>
        </w:rPr>
        <w:t>4</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"_Toc492850088" </w:instrText>
      </w:r>
      <w:r>
        <w:fldChar w:fldCharType="separate"/>
      </w:r>
      <w:r>
        <w:rPr>
          <w:rStyle w:val="52"/>
          <w:rFonts w:hint="eastAsia"/>
          <w:color w:val="auto"/>
        </w:rPr>
        <w:t>第二节 发展战略</w:t>
      </w:r>
      <w:r>
        <w:rPr>
          <w:color w:val="auto"/>
        </w:rPr>
        <w:tab/>
      </w:r>
      <w:r>
        <w:rPr>
          <w:color w:val="auto"/>
        </w:rPr>
        <w:fldChar w:fldCharType="begin"/>
      </w:r>
      <w:r>
        <w:rPr>
          <w:color w:val="auto"/>
        </w:rPr>
        <w:instrText xml:space="preserve"> PAGEREF _Toc492850088 \h </w:instrText>
      </w:r>
      <w:r>
        <w:rPr>
          <w:color w:val="auto"/>
        </w:rPr>
        <w:fldChar w:fldCharType="separate"/>
      </w:r>
      <w:r>
        <w:rPr>
          <w:color w:val="auto"/>
        </w:rPr>
        <w:t>6</w:t>
      </w:r>
      <w:r>
        <w:rPr>
          <w:color w:val="auto"/>
        </w:rPr>
        <w:fldChar w:fldCharType="end"/>
      </w:r>
      <w:r>
        <w:rPr>
          <w:color w:val="auto"/>
        </w:rPr>
        <w:fldChar w:fldCharType="end"/>
      </w:r>
    </w:p>
    <w:p>
      <w:pPr>
        <w:pStyle w:val="33"/>
        <w:spacing w:before="156"/>
        <w:rPr>
          <w:rFonts w:asciiTheme="minorHAnsi" w:hAnsiTheme="minorHAnsi" w:eastAsiaTheme="minorEastAsia" w:cstheme="minorBidi"/>
          <w:b w:val="0"/>
          <w:bCs w:val="0"/>
          <w:caps w:val="0"/>
          <w:sz w:val="21"/>
          <w:szCs w:val="22"/>
        </w:rPr>
      </w:pPr>
      <w:r>
        <w:fldChar w:fldCharType="begin"/>
      </w:r>
      <w:r>
        <w:instrText xml:space="preserve"> HYPERLINK \l "_Toc492850089" </w:instrText>
      </w:r>
      <w:r>
        <w:fldChar w:fldCharType="separate"/>
      </w:r>
      <w:r>
        <w:rPr>
          <w:rStyle w:val="52"/>
          <w:rFonts w:hint="eastAsia"/>
          <w:color w:val="auto"/>
        </w:rPr>
        <w:t>第三章 市域城镇体系规划</w:t>
      </w:r>
      <w:r>
        <w:tab/>
      </w:r>
      <w:r>
        <w:fldChar w:fldCharType="begin"/>
      </w:r>
      <w:r>
        <w:instrText xml:space="preserve"> PAGEREF _Toc492850089 \h </w:instrText>
      </w:r>
      <w:r>
        <w:fldChar w:fldCharType="separate"/>
      </w:r>
      <w:r>
        <w:t>10</w:t>
      </w:r>
      <w:r>
        <w:fldChar w:fldCharType="end"/>
      </w:r>
      <w: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"_Toc492850090" </w:instrText>
      </w:r>
      <w:r>
        <w:fldChar w:fldCharType="separate"/>
      </w:r>
      <w:r>
        <w:rPr>
          <w:rStyle w:val="52"/>
          <w:rFonts w:hint="eastAsia"/>
          <w:color w:val="auto"/>
        </w:rPr>
        <w:t>第一节</w:t>
      </w:r>
      <w:r>
        <w:rPr>
          <w:rStyle w:val="52"/>
          <w:color w:val="auto"/>
        </w:rPr>
        <w:t xml:space="preserve"> </w:t>
      </w:r>
      <w:r>
        <w:rPr>
          <w:rStyle w:val="52"/>
          <w:rFonts w:hint="eastAsia"/>
          <w:color w:val="auto"/>
        </w:rPr>
        <w:t>市域人口与城镇化发展</w:t>
      </w:r>
      <w:r>
        <w:rPr>
          <w:color w:val="auto"/>
        </w:rPr>
        <w:tab/>
      </w:r>
      <w:r>
        <w:rPr>
          <w:color w:val="auto"/>
        </w:rPr>
        <w:fldChar w:fldCharType="begin"/>
      </w:r>
      <w:r>
        <w:rPr>
          <w:color w:val="auto"/>
        </w:rPr>
        <w:instrText xml:space="preserve"> PAGEREF _Toc492850090 \h </w:instrText>
      </w:r>
      <w:r>
        <w:rPr>
          <w:color w:val="auto"/>
        </w:rPr>
        <w:fldChar w:fldCharType="separate"/>
      </w:r>
      <w:r>
        <w:rPr>
          <w:color w:val="auto"/>
        </w:rPr>
        <w:t>10</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"_Toc492850091" </w:instrText>
      </w:r>
      <w:r>
        <w:fldChar w:fldCharType="separate"/>
      </w:r>
      <w:r>
        <w:rPr>
          <w:rStyle w:val="52"/>
          <w:rFonts w:hint="eastAsia"/>
          <w:color w:val="auto"/>
        </w:rPr>
        <w:t>第二节</w:t>
      </w:r>
      <w:r>
        <w:rPr>
          <w:rStyle w:val="52"/>
          <w:color w:val="auto"/>
        </w:rPr>
        <w:t xml:space="preserve"> </w:t>
      </w:r>
      <w:r>
        <w:rPr>
          <w:rStyle w:val="52"/>
          <w:rFonts w:hint="eastAsia"/>
          <w:color w:val="auto"/>
        </w:rPr>
        <w:t>城乡统筹发展的目标与策略</w:t>
      </w:r>
      <w:r>
        <w:rPr>
          <w:color w:val="auto"/>
        </w:rPr>
        <w:tab/>
      </w:r>
      <w:r>
        <w:rPr>
          <w:color w:val="auto"/>
        </w:rPr>
        <w:fldChar w:fldCharType="begin"/>
      </w:r>
      <w:r>
        <w:rPr>
          <w:color w:val="auto"/>
        </w:rPr>
        <w:instrText xml:space="preserve"> PAGEREF _Toc492850091 \h </w:instrText>
      </w:r>
      <w:r>
        <w:rPr>
          <w:color w:val="auto"/>
        </w:rPr>
        <w:fldChar w:fldCharType="separate"/>
      </w:r>
      <w:r>
        <w:rPr>
          <w:color w:val="auto"/>
        </w:rPr>
        <w:t>11</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"_Toc492850092" </w:instrText>
      </w:r>
      <w:r>
        <w:fldChar w:fldCharType="separate"/>
      </w:r>
      <w:r>
        <w:rPr>
          <w:rStyle w:val="52"/>
          <w:rFonts w:hint="eastAsia"/>
          <w:color w:val="auto"/>
        </w:rPr>
        <w:t>第三节</w:t>
      </w:r>
      <w:r>
        <w:rPr>
          <w:rStyle w:val="52"/>
          <w:color w:val="auto"/>
        </w:rPr>
        <w:t xml:space="preserve"> </w:t>
      </w:r>
      <w:r>
        <w:rPr>
          <w:rStyle w:val="52"/>
          <w:rFonts w:hint="eastAsia"/>
          <w:color w:val="auto"/>
        </w:rPr>
        <w:t>市域城镇空间结构规划</w:t>
      </w:r>
      <w:r>
        <w:rPr>
          <w:color w:val="auto"/>
        </w:rPr>
        <w:tab/>
      </w:r>
      <w:r>
        <w:rPr>
          <w:color w:val="auto"/>
        </w:rPr>
        <w:fldChar w:fldCharType="begin"/>
      </w:r>
      <w:r>
        <w:rPr>
          <w:color w:val="auto"/>
        </w:rPr>
        <w:instrText xml:space="preserve"> PAGEREF _Toc492850092 \h </w:instrText>
      </w:r>
      <w:r>
        <w:rPr>
          <w:color w:val="auto"/>
        </w:rPr>
        <w:fldChar w:fldCharType="separate"/>
      </w:r>
      <w:r>
        <w:rPr>
          <w:color w:val="auto"/>
        </w:rPr>
        <w:t>13</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"_Toc492850093" </w:instrText>
      </w:r>
      <w:r>
        <w:fldChar w:fldCharType="separate"/>
      </w:r>
      <w:r>
        <w:rPr>
          <w:rStyle w:val="52"/>
          <w:rFonts w:hint="eastAsia"/>
          <w:color w:val="auto"/>
        </w:rPr>
        <w:t>第四节</w:t>
      </w:r>
      <w:r>
        <w:rPr>
          <w:rStyle w:val="52"/>
          <w:color w:val="auto"/>
        </w:rPr>
        <w:t xml:space="preserve"> </w:t>
      </w:r>
      <w:r>
        <w:rPr>
          <w:rStyle w:val="52"/>
          <w:rFonts w:hint="eastAsia"/>
          <w:color w:val="auto"/>
        </w:rPr>
        <w:t>市域综合交通规划</w:t>
      </w:r>
      <w:r>
        <w:rPr>
          <w:color w:val="auto"/>
        </w:rPr>
        <w:tab/>
      </w:r>
      <w:r>
        <w:rPr>
          <w:color w:val="auto"/>
        </w:rPr>
        <w:fldChar w:fldCharType="begin"/>
      </w:r>
      <w:r>
        <w:rPr>
          <w:color w:val="auto"/>
        </w:rPr>
        <w:instrText xml:space="preserve"> PAGEREF _Toc492850093 \h </w:instrText>
      </w:r>
      <w:r>
        <w:rPr>
          <w:color w:val="auto"/>
        </w:rPr>
        <w:fldChar w:fldCharType="separate"/>
      </w:r>
      <w:r>
        <w:rPr>
          <w:color w:val="auto"/>
        </w:rPr>
        <w:t>18</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"_Toc492850094" </w:instrText>
      </w:r>
      <w:r>
        <w:fldChar w:fldCharType="separate"/>
      </w:r>
      <w:r>
        <w:rPr>
          <w:rStyle w:val="52"/>
          <w:rFonts w:hint="eastAsia"/>
          <w:color w:val="auto"/>
        </w:rPr>
        <w:t>第五节</w:t>
      </w:r>
      <w:r>
        <w:rPr>
          <w:rStyle w:val="52"/>
          <w:color w:val="auto"/>
        </w:rPr>
        <w:t xml:space="preserve"> </w:t>
      </w:r>
      <w:r>
        <w:rPr>
          <w:rStyle w:val="52"/>
          <w:rFonts w:hint="eastAsia"/>
          <w:color w:val="auto"/>
        </w:rPr>
        <w:t>市域社会服务设施规划</w:t>
      </w:r>
      <w:r>
        <w:rPr>
          <w:color w:val="auto"/>
        </w:rPr>
        <w:tab/>
      </w:r>
      <w:r>
        <w:rPr>
          <w:color w:val="auto"/>
        </w:rPr>
        <w:fldChar w:fldCharType="begin"/>
      </w:r>
      <w:r>
        <w:rPr>
          <w:color w:val="auto"/>
        </w:rPr>
        <w:instrText xml:space="preserve"> PAGEREF _Toc492850094 \h </w:instrText>
      </w:r>
      <w:r>
        <w:rPr>
          <w:color w:val="auto"/>
        </w:rPr>
        <w:fldChar w:fldCharType="separate"/>
      </w:r>
      <w:r>
        <w:rPr>
          <w:color w:val="auto"/>
        </w:rPr>
        <w:t>21</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"_Toc492850095" </w:instrText>
      </w:r>
      <w:r>
        <w:fldChar w:fldCharType="separate"/>
      </w:r>
      <w:r>
        <w:rPr>
          <w:rStyle w:val="52"/>
          <w:rFonts w:hint="eastAsia"/>
          <w:color w:val="auto"/>
        </w:rPr>
        <w:t>第六节</w:t>
      </w:r>
      <w:r>
        <w:rPr>
          <w:rStyle w:val="52"/>
          <w:color w:val="auto"/>
        </w:rPr>
        <w:t xml:space="preserve"> </w:t>
      </w:r>
      <w:r>
        <w:rPr>
          <w:rStyle w:val="52"/>
          <w:rFonts w:hint="eastAsia"/>
          <w:color w:val="auto"/>
        </w:rPr>
        <w:t>市域产业空间布局规划</w:t>
      </w:r>
      <w:r>
        <w:rPr>
          <w:color w:val="auto"/>
        </w:rPr>
        <w:tab/>
      </w:r>
      <w:r>
        <w:rPr>
          <w:color w:val="auto"/>
        </w:rPr>
        <w:fldChar w:fldCharType="begin"/>
      </w:r>
      <w:r>
        <w:rPr>
          <w:color w:val="auto"/>
        </w:rPr>
        <w:instrText xml:space="preserve"> PAGEREF _Toc492850095 \h </w:instrText>
      </w:r>
      <w:r>
        <w:rPr>
          <w:color w:val="auto"/>
        </w:rPr>
        <w:fldChar w:fldCharType="separate"/>
      </w:r>
      <w:r>
        <w:rPr>
          <w:color w:val="auto"/>
        </w:rPr>
        <w:t>24</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"_Toc492850096" </w:instrText>
      </w:r>
      <w:r>
        <w:fldChar w:fldCharType="separate"/>
      </w:r>
      <w:r>
        <w:rPr>
          <w:rStyle w:val="52"/>
          <w:rFonts w:hint="eastAsia"/>
          <w:color w:val="auto"/>
        </w:rPr>
        <w:t>第七节</w:t>
      </w:r>
      <w:r>
        <w:rPr>
          <w:rStyle w:val="52"/>
          <w:color w:val="auto"/>
        </w:rPr>
        <w:t xml:space="preserve"> </w:t>
      </w:r>
      <w:r>
        <w:rPr>
          <w:rStyle w:val="52"/>
          <w:rFonts w:hint="eastAsia"/>
          <w:color w:val="auto"/>
        </w:rPr>
        <w:t>市域自然景观与历史文化保护规划</w:t>
      </w:r>
      <w:r>
        <w:rPr>
          <w:color w:val="auto"/>
        </w:rPr>
        <w:tab/>
      </w:r>
      <w:r>
        <w:rPr>
          <w:color w:val="auto"/>
        </w:rPr>
        <w:fldChar w:fldCharType="begin"/>
      </w:r>
      <w:r>
        <w:rPr>
          <w:color w:val="auto"/>
        </w:rPr>
        <w:instrText xml:space="preserve"> PAGEREF _Toc492850096 \h </w:instrText>
      </w:r>
      <w:r>
        <w:rPr>
          <w:color w:val="auto"/>
        </w:rPr>
        <w:fldChar w:fldCharType="separate"/>
      </w:r>
      <w:r>
        <w:rPr>
          <w:color w:val="auto"/>
        </w:rPr>
        <w:t>26</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"_Toc492850097" </w:instrText>
      </w:r>
      <w:r>
        <w:fldChar w:fldCharType="separate"/>
      </w:r>
      <w:r>
        <w:rPr>
          <w:rStyle w:val="52"/>
          <w:rFonts w:hint="eastAsia"/>
          <w:color w:val="auto"/>
        </w:rPr>
        <w:t>第八节</w:t>
      </w:r>
      <w:r>
        <w:rPr>
          <w:rStyle w:val="52"/>
          <w:color w:val="auto"/>
        </w:rPr>
        <w:t xml:space="preserve"> </w:t>
      </w:r>
      <w:r>
        <w:rPr>
          <w:rStyle w:val="52"/>
          <w:rFonts w:hint="eastAsia"/>
          <w:color w:val="auto"/>
        </w:rPr>
        <w:t>市域旅游发展规划</w:t>
      </w:r>
      <w:r>
        <w:rPr>
          <w:color w:val="auto"/>
        </w:rPr>
        <w:tab/>
      </w:r>
      <w:r>
        <w:rPr>
          <w:color w:val="auto"/>
        </w:rPr>
        <w:fldChar w:fldCharType="begin"/>
      </w:r>
      <w:r>
        <w:rPr>
          <w:color w:val="auto"/>
        </w:rPr>
        <w:instrText xml:space="preserve"> PAGEREF _Toc492850097 \h </w:instrText>
      </w:r>
      <w:r>
        <w:rPr>
          <w:color w:val="auto"/>
        </w:rPr>
        <w:fldChar w:fldCharType="separate"/>
      </w:r>
      <w:r>
        <w:rPr>
          <w:color w:val="auto"/>
        </w:rPr>
        <w:t>27</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"_Toc492850098" </w:instrText>
      </w:r>
      <w:r>
        <w:fldChar w:fldCharType="separate"/>
      </w:r>
      <w:r>
        <w:rPr>
          <w:rStyle w:val="52"/>
          <w:rFonts w:hint="eastAsia"/>
          <w:color w:val="auto"/>
        </w:rPr>
        <w:t>第九节</w:t>
      </w:r>
      <w:r>
        <w:rPr>
          <w:rStyle w:val="52"/>
          <w:color w:val="auto"/>
        </w:rPr>
        <w:t xml:space="preserve"> </w:t>
      </w:r>
      <w:r>
        <w:rPr>
          <w:rStyle w:val="52"/>
          <w:rFonts w:hint="eastAsia"/>
          <w:color w:val="auto"/>
        </w:rPr>
        <w:t>市域水资源综合利用规划</w:t>
      </w:r>
      <w:r>
        <w:rPr>
          <w:color w:val="auto"/>
        </w:rPr>
        <w:tab/>
      </w:r>
      <w:r>
        <w:rPr>
          <w:color w:val="auto"/>
        </w:rPr>
        <w:fldChar w:fldCharType="begin"/>
      </w:r>
      <w:r>
        <w:rPr>
          <w:color w:val="auto"/>
        </w:rPr>
        <w:instrText xml:space="preserve"> PAGEREF _Toc492850098 \h </w:instrText>
      </w:r>
      <w:r>
        <w:rPr>
          <w:color w:val="auto"/>
        </w:rPr>
        <w:fldChar w:fldCharType="separate"/>
      </w:r>
      <w:r>
        <w:rPr>
          <w:color w:val="auto"/>
        </w:rPr>
        <w:t>28</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"_Toc492850099" </w:instrText>
      </w:r>
      <w:r>
        <w:fldChar w:fldCharType="separate"/>
      </w:r>
      <w:r>
        <w:rPr>
          <w:rStyle w:val="52"/>
          <w:rFonts w:hint="eastAsia"/>
          <w:color w:val="auto"/>
        </w:rPr>
        <w:t>第十节</w:t>
      </w:r>
      <w:r>
        <w:rPr>
          <w:rStyle w:val="52"/>
          <w:color w:val="auto"/>
        </w:rPr>
        <w:t xml:space="preserve"> </w:t>
      </w:r>
      <w:r>
        <w:rPr>
          <w:rStyle w:val="52"/>
          <w:rFonts w:hint="eastAsia"/>
          <w:color w:val="auto"/>
        </w:rPr>
        <w:t>市域能源综合利用规划</w:t>
      </w:r>
      <w:r>
        <w:rPr>
          <w:color w:val="auto"/>
        </w:rPr>
        <w:tab/>
      </w:r>
      <w:r>
        <w:rPr>
          <w:color w:val="auto"/>
        </w:rPr>
        <w:fldChar w:fldCharType="begin"/>
      </w:r>
      <w:r>
        <w:rPr>
          <w:color w:val="auto"/>
        </w:rPr>
        <w:instrText xml:space="preserve"> PAGEREF _Toc492850099 \h </w:instrText>
      </w:r>
      <w:r>
        <w:rPr>
          <w:color w:val="auto"/>
        </w:rPr>
        <w:fldChar w:fldCharType="separate"/>
      </w:r>
      <w:r>
        <w:rPr>
          <w:color w:val="auto"/>
        </w:rPr>
        <w:t>30</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"_Toc492850100" </w:instrText>
      </w:r>
      <w:r>
        <w:fldChar w:fldCharType="separate"/>
      </w:r>
      <w:r>
        <w:rPr>
          <w:rStyle w:val="52"/>
          <w:rFonts w:hint="eastAsia"/>
          <w:color w:val="auto"/>
        </w:rPr>
        <w:t>第十一节</w:t>
      </w:r>
      <w:r>
        <w:rPr>
          <w:rStyle w:val="52"/>
          <w:color w:val="auto"/>
        </w:rPr>
        <w:t xml:space="preserve"> </w:t>
      </w:r>
      <w:r>
        <w:rPr>
          <w:rStyle w:val="52"/>
          <w:rFonts w:hint="eastAsia"/>
          <w:color w:val="auto"/>
        </w:rPr>
        <w:t>市域生态环境保护规划</w:t>
      </w:r>
      <w:r>
        <w:rPr>
          <w:color w:val="auto"/>
        </w:rPr>
        <w:tab/>
      </w:r>
      <w:r>
        <w:rPr>
          <w:color w:val="auto"/>
        </w:rPr>
        <w:fldChar w:fldCharType="begin"/>
      </w:r>
      <w:r>
        <w:rPr>
          <w:color w:val="auto"/>
        </w:rPr>
        <w:instrText xml:space="preserve"> PAGEREF _Toc492850100 \h </w:instrText>
      </w:r>
      <w:r>
        <w:rPr>
          <w:color w:val="auto"/>
        </w:rPr>
        <w:fldChar w:fldCharType="separate"/>
      </w:r>
      <w:r>
        <w:rPr>
          <w:color w:val="auto"/>
        </w:rPr>
        <w:t>31</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"_Toc492850101" </w:instrText>
      </w:r>
      <w:r>
        <w:fldChar w:fldCharType="separate"/>
      </w:r>
      <w:r>
        <w:rPr>
          <w:rStyle w:val="52"/>
          <w:rFonts w:hint="eastAsia"/>
          <w:color w:val="auto"/>
        </w:rPr>
        <w:t>第十二节</w:t>
      </w:r>
      <w:r>
        <w:rPr>
          <w:rStyle w:val="52"/>
          <w:color w:val="auto"/>
        </w:rPr>
        <w:t xml:space="preserve"> </w:t>
      </w:r>
      <w:r>
        <w:rPr>
          <w:rStyle w:val="52"/>
          <w:rFonts w:hint="eastAsia"/>
          <w:color w:val="auto"/>
        </w:rPr>
        <w:t>市域综合防灾减灾规划</w:t>
      </w:r>
      <w:r>
        <w:rPr>
          <w:color w:val="auto"/>
        </w:rPr>
        <w:tab/>
      </w:r>
      <w:r>
        <w:rPr>
          <w:color w:val="auto"/>
        </w:rPr>
        <w:fldChar w:fldCharType="begin"/>
      </w:r>
      <w:r>
        <w:rPr>
          <w:color w:val="auto"/>
        </w:rPr>
        <w:instrText xml:space="preserve"> PAGEREF _Toc492850101 \h </w:instrText>
      </w:r>
      <w:r>
        <w:rPr>
          <w:color w:val="auto"/>
        </w:rPr>
        <w:fldChar w:fldCharType="separate"/>
      </w:r>
      <w:r>
        <w:rPr>
          <w:color w:val="auto"/>
        </w:rPr>
        <w:t>34</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"_Toc492850102" </w:instrText>
      </w:r>
      <w:r>
        <w:fldChar w:fldCharType="separate"/>
      </w:r>
      <w:r>
        <w:rPr>
          <w:rStyle w:val="52"/>
          <w:rFonts w:hint="eastAsia"/>
          <w:color w:val="auto"/>
        </w:rPr>
        <w:t>第十三节</w:t>
      </w:r>
      <w:r>
        <w:rPr>
          <w:rStyle w:val="52"/>
          <w:color w:val="auto"/>
        </w:rPr>
        <w:t xml:space="preserve"> </w:t>
      </w:r>
      <w:r>
        <w:rPr>
          <w:rStyle w:val="52"/>
          <w:rFonts w:hint="eastAsia"/>
          <w:color w:val="auto"/>
        </w:rPr>
        <w:t>市域空间管制</w:t>
      </w:r>
      <w:r>
        <w:rPr>
          <w:color w:val="auto"/>
        </w:rPr>
        <w:tab/>
      </w:r>
      <w:r>
        <w:rPr>
          <w:color w:val="auto"/>
        </w:rPr>
        <w:fldChar w:fldCharType="begin"/>
      </w:r>
      <w:r>
        <w:rPr>
          <w:color w:val="auto"/>
        </w:rPr>
        <w:instrText xml:space="preserve"> PAGEREF _Toc492850102 \h </w:instrText>
      </w:r>
      <w:r>
        <w:rPr>
          <w:color w:val="auto"/>
        </w:rPr>
        <w:fldChar w:fldCharType="separate"/>
      </w:r>
      <w:r>
        <w:rPr>
          <w:color w:val="auto"/>
        </w:rPr>
        <w:t>37</w:t>
      </w:r>
      <w:r>
        <w:rPr>
          <w:color w:val="auto"/>
        </w:rPr>
        <w:fldChar w:fldCharType="end"/>
      </w:r>
      <w:r>
        <w:rPr>
          <w:color w:val="auto"/>
        </w:rPr>
        <w:fldChar w:fldCharType="end"/>
      </w:r>
    </w:p>
    <w:p>
      <w:pPr>
        <w:pStyle w:val="33"/>
        <w:spacing w:before="156"/>
        <w:rPr>
          <w:rFonts w:asciiTheme="minorHAnsi" w:hAnsiTheme="minorHAnsi" w:eastAsiaTheme="minorEastAsia" w:cstheme="minorBidi"/>
          <w:b w:val="0"/>
          <w:bCs w:val="0"/>
          <w:caps w:val="0"/>
          <w:sz w:val="21"/>
          <w:szCs w:val="22"/>
        </w:rPr>
      </w:pPr>
      <w:r>
        <w:fldChar w:fldCharType="begin"/>
      </w:r>
      <w:r>
        <w:instrText xml:space="preserve"> HYPERLINK \l "_Toc492850103" </w:instrText>
      </w:r>
      <w:r>
        <w:fldChar w:fldCharType="separate"/>
      </w:r>
      <w:r>
        <w:rPr>
          <w:rStyle w:val="52"/>
          <w:rFonts w:hint="eastAsia"/>
          <w:color w:val="auto"/>
        </w:rPr>
        <w:t>第四章 太原、榆次、太谷区域协同发展规划</w:t>
      </w:r>
      <w:r>
        <w:tab/>
      </w:r>
      <w:r>
        <w:fldChar w:fldCharType="begin"/>
      </w:r>
      <w:r>
        <w:instrText xml:space="preserve"> PAGEREF _Toc492850103 \h </w:instrText>
      </w:r>
      <w:r>
        <w:fldChar w:fldCharType="separate"/>
      </w:r>
      <w:r>
        <w:t>39</w:t>
      </w:r>
      <w:r>
        <w:fldChar w:fldCharType="end"/>
      </w:r>
      <w: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"_Toc492850104" </w:instrText>
      </w:r>
      <w:r>
        <w:fldChar w:fldCharType="separate"/>
      </w:r>
      <w:r>
        <w:rPr>
          <w:rStyle w:val="52"/>
          <w:rFonts w:hint="eastAsia"/>
          <w:color w:val="auto"/>
        </w:rPr>
        <w:t>第一节</w:t>
      </w:r>
      <w:r>
        <w:rPr>
          <w:rStyle w:val="52"/>
          <w:color w:val="auto"/>
        </w:rPr>
        <w:t xml:space="preserve"> </w:t>
      </w:r>
      <w:r>
        <w:rPr>
          <w:rStyle w:val="52"/>
          <w:rFonts w:hint="eastAsia"/>
          <w:color w:val="auto"/>
        </w:rPr>
        <w:t>太原、榆次、太谷功能统筹协调</w:t>
      </w:r>
      <w:r>
        <w:rPr>
          <w:color w:val="auto"/>
        </w:rPr>
        <w:tab/>
      </w:r>
      <w:r>
        <w:rPr>
          <w:color w:val="auto"/>
        </w:rPr>
        <w:fldChar w:fldCharType="begin"/>
      </w:r>
      <w:r>
        <w:rPr>
          <w:color w:val="auto"/>
        </w:rPr>
        <w:instrText xml:space="preserve"> PAGEREF _Toc492850104 \h </w:instrText>
      </w:r>
      <w:r>
        <w:rPr>
          <w:color w:val="auto"/>
        </w:rPr>
        <w:fldChar w:fldCharType="separate"/>
      </w:r>
      <w:r>
        <w:rPr>
          <w:color w:val="auto"/>
        </w:rPr>
        <w:t>39</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"_Toc492850105" </w:instrText>
      </w:r>
      <w:r>
        <w:fldChar w:fldCharType="separate"/>
      </w:r>
      <w:r>
        <w:rPr>
          <w:rStyle w:val="52"/>
          <w:rFonts w:hint="eastAsia"/>
          <w:color w:val="auto"/>
        </w:rPr>
        <w:t>第二节</w:t>
      </w:r>
      <w:r>
        <w:rPr>
          <w:rStyle w:val="52"/>
          <w:color w:val="auto"/>
        </w:rPr>
        <w:t xml:space="preserve"> </w:t>
      </w:r>
      <w:r>
        <w:rPr>
          <w:rStyle w:val="52"/>
          <w:rFonts w:hint="eastAsia"/>
          <w:color w:val="auto"/>
        </w:rPr>
        <w:t>太原晋中一体化规划</w:t>
      </w:r>
      <w:r>
        <w:rPr>
          <w:color w:val="auto"/>
        </w:rPr>
        <w:tab/>
      </w:r>
      <w:r>
        <w:rPr>
          <w:color w:val="auto"/>
        </w:rPr>
        <w:fldChar w:fldCharType="begin"/>
      </w:r>
      <w:r>
        <w:rPr>
          <w:color w:val="auto"/>
        </w:rPr>
        <w:instrText xml:space="preserve"> PAGEREF _Toc492850105 \h </w:instrText>
      </w:r>
      <w:r>
        <w:rPr>
          <w:color w:val="auto"/>
        </w:rPr>
        <w:fldChar w:fldCharType="separate"/>
      </w:r>
      <w:r>
        <w:rPr>
          <w:color w:val="auto"/>
        </w:rPr>
        <w:t>40</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"_Toc492850106" </w:instrText>
      </w:r>
      <w:r>
        <w:fldChar w:fldCharType="separate"/>
      </w:r>
      <w:r>
        <w:rPr>
          <w:rStyle w:val="52"/>
          <w:rFonts w:hint="eastAsia"/>
          <w:color w:val="auto"/>
        </w:rPr>
        <w:t>第三节</w:t>
      </w:r>
      <w:r>
        <w:rPr>
          <w:rStyle w:val="52"/>
          <w:color w:val="auto"/>
        </w:rPr>
        <w:t xml:space="preserve"> </w:t>
      </w:r>
      <w:r>
        <w:rPr>
          <w:rStyle w:val="52"/>
          <w:rFonts w:hint="eastAsia"/>
          <w:color w:val="auto"/>
        </w:rPr>
        <w:t>榆次、太谷统筹协调规划</w:t>
      </w:r>
      <w:r>
        <w:rPr>
          <w:color w:val="auto"/>
        </w:rPr>
        <w:tab/>
      </w:r>
      <w:r>
        <w:rPr>
          <w:color w:val="auto"/>
        </w:rPr>
        <w:fldChar w:fldCharType="begin"/>
      </w:r>
      <w:r>
        <w:rPr>
          <w:color w:val="auto"/>
        </w:rPr>
        <w:instrText xml:space="preserve"> PAGEREF _Toc492850106 \h </w:instrText>
      </w:r>
      <w:r>
        <w:rPr>
          <w:color w:val="auto"/>
        </w:rPr>
        <w:fldChar w:fldCharType="separate"/>
      </w:r>
      <w:r>
        <w:rPr>
          <w:color w:val="auto"/>
        </w:rPr>
        <w:t>43</w:t>
      </w:r>
      <w:r>
        <w:rPr>
          <w:color w:val="auto"/>
        </w:rPr>
        <w:fldChar w:fldCharType="end"/>
      </w:r>
      <w:r>
        <w:rPr>
          <w:color w:val="auto"/>
        </w:rPr>
        <w:fldChar w:fldCharType="end"/>
      </w:r>
    </w:p>
    <w:p>
      <w:pPr>
        <w:pStyle w:val="33"/>
        <w:spacing w:before="156"/>
        <w:rPr>
          <w:rFonts w:asciiTheme="minorHAnsi" w:hAnsiTheme="minorHAnsi" w:eastAsiaTheme="minorEastAsia" w:cstheme="minorBidi"/>
          <w:b w:val="0"/>
          <w:bCs w:val="0"/>
          <w:caps w:val="0"/>
          <w:sz w:val="21"/>
          <w:szCs w:val="22"/>
        </w:rPr>
      </w:pPr>
      <w:r>
        <w:fldChar w:fldCharType="begin"/>
      </w:r>
      <w:r>
        <w:instrText xml:space="preserve"> HYPERLINK \l "_Toc492850107" </w:instrText>
      </w:r>
      <w:r>
        <w:fldChar w:fldCharType="separate"/>
      </w:r>
      <w:r>
        <w:rPr>
          <w:rStyle w:val="52"/>
          <w:rFonts w:hint="eastAsia"/>
          <w:color w:val="auto"/>
        </w:rPr>
        <w:t>第五章 规划区城乡统筹规划</w:t>
      </w:r>
      <w:r>
        <w:tab/>
      </w:r>
      <w:r>
        <w:fldChar w:fldCharType="begin"/>
      </w:r>
      <w:r>
        <w:instrText xml:space="preserve"> PAGEREF _Toc492850107 \h </w:instrText>
      </w:r>
      <w:r>
        <w:fldChar w:fldCharType="separate"/>
      </w:r>
      <w:r>
        <w:t>49</w:t>
      </w:r>
      <w:r>
        <w:fldChar w:fldCharType="end"/>
      </w:r>
      <w: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"_Toc492850108" </w:instrText>
      </w:r>
      <w:r>
        <w:fldChar w:fldCharType="separate"/>
      </w:r>
      <w:r>
        <w:rPr>
          <w:rStyle w:val="52"/>
          <w:rFonts w:hint="eastAsia"/>
          <w:color w:val="auto"/>
        </w:rPr>
        <w:t>第一节 发展规模控制</w:t>
      </w:r>
      <w:r>
        <w:rPr>
          <w:color w:val="auto"/>
        </w:rPr>
        <w:tab/>
      </w:r>
      <w:r>
        <w:rPr>
          <w:color w:val="auto"/>
        </w:rPr>
        <w:fldChar w:fldCharType="begin"/>
      </w:r>
      <w:r>
        <w:rPr>
          <w:color w:val="auto"/>
        </w:rPr>
        <w:instrText xml:space="preserve"> PAGEREF _Toc492850108 \h </w:instrText>
      </w:r>
      <w:r>
        <w:rPr>
          <w:color w:val="auto"/>
        </w:rPr>
        <w:fldChar w:fldCharType="separate"/>
      </w:r>
      <w:r>
        <w:rPr>
          <w:color w:val="auto"/>
        </w:rPr>
        <w:t>49</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"_Toc492850109" </w:instrText>
      </w:r>
      <w:r>
        <w:fldChar w:fldCharType="separate"/>
      </w:r>
      <w:r>
        <w:rPr>
          <w:rStyle w:val="52"/>
          <w:rFonts w:hint="eastAsia"/>
          <w:color w:val="auto"/>
        </w:rPr>
        <w:t>第二节</w:t>
      </w:r>
      <w:r>
        <w:rPr>
          <w:rStyle w:val="52"/>
          <w:color w:val="auto"/>
        </w:rPr>
        <w:t xml:space="preserve"> </w:t>
      </w:r>
      <w:r>
        <w:rPr>
          <w:rStyle w:val="52"/>
          <w:rFonts w:hint="eastAsia"/>
          <w:color w:val="auto"/>
        </w:rPr>
        <w:t>功能统筹协调规划</w:t>
      </w:r>
      <w:r>
        <w:rPr>
          <w:color w:val="auto"/>
        </w:rPr>
        <w:tab/>
      </w:r>
      <w:r>
        <w:rPr>
          <w:color w:val="auto"/>
        </w:rPr>
        <w:fldChar w:fldCharType="begin"/>
      </w:r>
      <w:r>
        <w:rPr>
          <w:color w:val="auto"/>
        </w:rPr>
        <w:instrText xml:space="preserve"> PAGEREF _Toc492850109 \h </w:instrText>
      </w:r>
      <w:r>
        <w:rPr>
          <w:color w:val="auto"/>
        </w:rPr>
        <w:fldChar w:fldCharType="separate"/>
      </w:r>
      <w:r>
        <w:rPr>
          <w:color w:val="auto"/>
        </w:rPr>
        <w:t>49</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"_Toc492850110" </w:instrText>
      </w:r>
      <w:r>
        <w:fldChar w:fldCharType="separate"/>
      </w:r>
      <w:r>
        <w:rPr>
          <w:rStyle w:val="52"/>
          <w:rFonts w:hint="eastAsia"/>
          <w:color w:val="auto"/>
        </w:rPr>
        <w:t>第三节 城镇开发建设控制</w:t>
      </w:r>
      <w:r>
        <w:rPr>
          <w:color w:val="auto"/>
        </w:rPr>
        <w:tab/>
      </w:r>
      <w:r>
        <w:rPr>
          <w:color w:val="auto"/>
        </w:rPr>
        <w:fldChar w:fldCharType="begin"/>
      </w:r>
      <w:r>
        <w:rPr>
          <w:color w:val="auto"/>
        </w:rPr>
        <w:instrText xml:space="preserve"> PAGEREF _Toc492850110 \h </w:instrText>
      </w:r>
      <w:r>
        <w:rPr>
          <w:color w:val="auto"/>
        </w:rPr>
        <w:fldChar w:fldCharType="separate"/>
      </w:r>
      <w:r>
        <w:rPr>
          <w:color w:val="auto"/>
        </w:rPr>
        <w:t>52</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"_Toc492850111" </w:instrText>
      </w:r>
      <w:r>
        <w:fldChar w:fldCharType="separate"/>
      </w:r>
      <w:r>
        <w:rPr>
          <w:rStyle w:val="52"/>
          <w:rFonts w:hint="eastAsia"/>
          <w:color w:val="auto"/>
        </w:rPr>
        <w:t>第四节 农村居民点建设指引</w:t>
      </w:r>
      <w:r>
        <w:rPr>
          <w:color w:val="auto"/>
        </w:rPr>
        <w:tab/>
      </w:r>
      <w:r>
        <w:rPr>
          <w:color w:val="auto"/>
        </w:rPr>
        <w:fldChar w:fldCharType="begin"/>
      </w:r>
      <w:r>
        <w:rPr>
          <w:color w:val="auto"/>
        </w:rPr>
        <w:instrText xml:space="preserve"> PAGEREF _Toc492850111 \h </w:instrText>
      </w:r>
      <w:r>
        <w:rPr>
          <w:color w:val="auto"/>
        </w:rPr>
        <w:fldChar w:fldCharType="separate"/>
      </w:r>
      <w:r>
        <w:rPr>
          <w:color w:val="auto"/>
        </w:rPr>
        <w:t>52</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"_Toc492850112" </w:instrText>
      </w:r>
      <w:r>
        <w:fldChar w:fldCharType="separate"/>
      </w:r>
      <w:r>
        <w:rPr>
          <w:rStyle w:val="52"/>
          <w:rFonts w:hint="eastAsia"/>
          <w:color w:val="auto"/>
        </w:rPr>
        <w:t>第五节 公共服务设施统筹协调规划</w:t>
      </w:r>
      <w:r>
        <w:rPr>
          <w:color w:val="auto"/>
        </w:rPr>
        <w:tab/>
      </w:r>
      <w:r>
        <w:rPr>
          <w:color w:val="auto"/>
        </w:rPr>
        <w:fldChar w:fldCharType="begin"/>
      </w:r>
      <w:r>
        <w:rPr>
          <w:color w:val="auto"/>
        </w:rPr>
        <w:instrText xml:space="preserve"> PAGEREF _Toc492850112 \h </w:instrText>
      </w:r>
      <w:r>
        <w:rPr>
          <w:color w:val="auto"/>
        </w:rPr>
        <w:fldChar w:fldCharType="separate"/>
      </w:r>
      <w:r>
        <w:rPr>
          <w:color w:val="auto"/>
        </w:rPr>
        <w:t>53</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"_Toc492850113" </w:instrText>
      </w:r>
      <w:r>
        <w:fldChar w:fldCharType="separate"/>
      </w:r>
      <w:r>
        <w:rPr>
          <w:rStyle w:val="52"/>
          <w:rFonts w:hint="eastAsia"/>
          <w:color w:val="auto"/>
        </w:rPr>
        <w:t>第六节 城乡设施建设统筹</w:t>
      </w:r>
      <w:r>
        <w:rPr>
          <w:color w:val="auto"/>
        </w:rPr>
        <w:tab/>
      </w:r>
      <w:r>
        <w:rPr>
          <w:color w:val="auto"/>
        </w:rPr>
        <w:fldChar w:fldCharType="begin"/>
      </w:r>
      <w:r>
        <w:rPr>
          <w:color w:val="auto"/>
        </w:rPr>
        <w:instrText xml:space="preserve"> PAGEREF _Toc492850113 \h </w:instrText>
      </w:r>
      <w:r>
        <w:rPr>
          <w:color w:val="auto"/>
        </w:rPr>
        <w:fldChar w:fldCharType="separate"/>
      </w:r>
      <w:r>
        <w:rPr>
          <w:color w:val="auto"/>
        </w:rPr>
        <w:t>55</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"_Toc492850114" </w:instrText>
      </w:r>
      <w:r>
        <w:fldChar w:fldCharType="separate"/>
      </w:r>
      <w:r>
        <w:rPr>
          <w:rStyle w:val="52"/>
          <w:rFonts w:hint="eastAsia"/>
          <w:color w:val="auto"/>
        </w:rPr>
        <w:t>第七节 规划区空间管制</w:t>
      </w:r>
      <w:r>
        <w:rPr>
          <w:color w:val="auto"/>
        </w:rPr>
        <w:tab/>
      </w:r>
      <w:r>
        <w:rPr>
          <w:color w:val="auto"/>
        </w:rPr>
        <w:fldChar w:fldCharType="begin"/>
      </w:r>
      <w:r>
        <w:rPr>
          <w:color w:val="auto"/>
        </w:rPr>
        <w:instrText xml:space="preserve"> PAGEREF _Toc492850114 \h </w:instrText>
      </w:r>
      <w:r>
        <w:rPr>
          <w:color w:val="auto"/>
        </w:rPr>
        <w:fldChar w:fldCharType="separate"/>
      </w:r>
      <w:r>
        <w:rPr>
          <w:color w:val="auto"/>
        </w:rPr>
        <w:t>57</w:t>
      </w:r>
      <w:r>
        <w:rPr>
          <w:color w:val="auto"/>
        </w:rPr>
        <w:fldChar w:fldCharType="end"/>
      </w:r>
      <w:r>
        <w:rPr>
          <w:color w:val="auto"/>
        </w:rPr>
        <w:fldChar w:fldCharType="end"/>
      </w:r>
    </w:p>
    <w:p>
      <w:pPr>
        <w:pStyle w:val="33"/>
        <w:spacing w:before="156"/>
        <w:rPr>
          <w:rFonts w:asciiTheme="minorHAnsi" w:hAnsiTheme="minorHAnsi" w:eastAsiaTheme="minorEastAsia" w:cstheme="minorBidi"/>
          <w:b w:val="0"/>
          <w:bCs w:val="0"/>
          <w:caps w:val="0"/>
          <w:sz w:val="21"/>
          <w:szCs w:val="22"/>
        </w:rPr>
      </w:pPr>
      <w:r>
        <w:fldChar w:fldCharType="begin"/>
      </w:r>
      <w:r>
        <w:instrText xml:space="preserve"> HYPERLINK \l "_Toc492850115" </w:instrText>
      </w:r>
      <w:r>
        <w:fldChar w:fldCharType="separate"/>
      </w:r>
      <w:r>
        <w:rPr>
          <w:rStyle w:val="52"/>
          <w:rFonts w:hint="eastAsia"/>
          <w:color w:val="auto"/>
        </w:rPr>
        <w:t>第六章 中心城区总体规划</w:t>
      </w:r>
      <w:r>
        <w:tab/>
      </w:r>
      <w:r>
        <w:fldChar w:fldCharType="begin"/>
      </w:r>
      <w:r>
        <w:instrText xml:space="preserve"> PAGEREF _Toc492850115 \h </w:instrText>
      </w:r>
      <w:r>
        <w:fldChar w:fldCharType="separate"/>
      </w:r>
      <w:r>
        <w:t>59</w:t>
      </w:r>
      <w:r>
        <w:fldChar w:fldCharType="end"/>
      </w:r>
      <w: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"_Toc492850116" </w:instrText>
      </w:r>
      <w:r>
        <w:fldChar w:fldCharType="separate"/>
      </w:r>
      <w:r>
        <w:rPr>
          <w:rStyle w:val="52"/>
          <w:rFonts w:hint="eastAsia"/>
          <w:color w:val="auto"/>
        </w:rPr>
        <w:t>第一节</w:t>
      </w:r>
      <w:r>
        <w:rPr>
          <w:rStyle w:val="52"/>
          <w:color w:val="auto"/>
        </w:rPr>
        <w:t xml:space="preserve"> </w:t>
      </w:r>
      <w:r>
        <w:rPr>
          <w:rStyle w:val="52"/>
          <w:rFonts w:hint="eastAsia"/>
          <w:color w:val="auto"/>
        </w:rPr>
        <w:t>城市性质与职能</w:t>
      </w:r>
      <w:r>
        <w:rPr>
          <w:color w:val="auto"/>
        </w:rPr>
        <w:tab/>
      </w:r>
      <w:r>
        <w:rPr>
          <w:color w:val="auto"/>
        </w:rPr>
        <w:fldChar w:fldCharType="begin"/>
      </w:r>
      <w:r>
        <w:rPr>
          <w:color w:val="auto"/>
        </w:rPr>
        <w:instrText xml:space="preserve"> PAGEREF _Toc492850116 \h </w:instrText>
      </w:r>
      <w:r>
        <w:rPr>
          <w:color w:val="auto"/>
        </w:rPr>
        <w:fldChar w:fldCharType="separate"/>
      </w:r>
      <w:r>
        <w:rPr>
          <w:color w:val="auto"/>
        </w:rPr>
        <w:t>59</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"_Toc492850117" </w:instrText>
      </w:r>
      <w:r>
        <w:fldChar w:fldCharType="separate"/>
      </w:r>
      <w:r>
        <w:rPr>
          <w:rStyle w:val="52"/>
          <w:rFonts w:hint="eastAsia"/>
          <w:color w:val="auto"/>
        </w:rPr>
        <w:t>第二节</w:t>
      </w:r>
      <w:r>
        <w:rPr>
          <w:rStyle w:val="52"/>
          <w:color w:val="auto"/>
        </w:rPr>
        <w:t xml:space="preserve"> </w:t>
      </w:r>
      <w:r>
        <w:rPr>
          <w:rStyle w:val="52"/>
          <w:rFonts w:hint="eastAsia"/>
          <w:color w:val="auto"/>
        </w:rPr>
        <w:t>城市规模</w:t>
      </w:r>
      <w:r>
        <w:rPr>
          <w:color w:val="auto"/>
        </w:rPr>
        <w:tab/>
      </w:r>
      <w:r>
        <w:rPr>
          <w:color w:val="auto"/>
        </w:rPr>
        <w:fldChar w:fldCharType="begin"/>
      </w:r>
      <w:r>
        <w:rPr>
          <w:color w:val="auto"/>
        </w:rPr>
        <w:instrText xml:space="preserve"> PAGEREF _Toc492850117 \h </w:instrText>
      </w:r>
      <w:r>
        <w:rPr>
          <w:color w:val="auto"/>
        </w:rPr>
        <w:fldChar w:fldCharType="separate"/>
      </w:r>
      <w:r>
        <w:rPr>
          <w:color w:val="auto"/>
        </w:rPr>
        <w:t>59</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"_Toc492850118" </w:instrText>
      </w:r>
      <w:r>
        <w:fldChar w:fldCharType="separate"/>
      </w:r>
      <w:r>
        <w:rPr>
          <w:rStyle w:val="52"/>
          <w:rFonts w:hint="eastAsia"/>
          <w:color w:val="auto"/>
        </w:rPr>
        <w:t>第三节</w:t>
      </w:r>
      <w:r>
        <w:rPr>
          <w:rStyle w:val="52"/>
          <w:color w:val="auto"/>
        </w:rPr>
        <w:t xml:space="preserve"> </w:t>
      </w:r>
      <w:r>
        <w:rPr>
          <w:rStyle w:val="52"/>
          <w:rFonts w:hint="eastAsia"/>
          <w:color w:val="auto"/>
        </w:rPr>
        <w:t>城市发展方向与空间布局结构</w:t>
      </w:r>
      <w:r>
        <w:rPr>
          <w:color w:val="auto"/>
        </w:rPr>
        <w:tab/>
      </w:r>
      <w:r>
        <w:rPr>
          <w:color w:val="auto"/>
        </w:rPr>
        <w:fldChar w:fldCharType="begin"/>
      </w:r>
      <w:r>
        <w:rPr>
          <w:color w:val="auto"/>
        </w:rPr>
        <w:instrText xml:space="preserve"> PAGEREF _Toc492850118 \h </w:instrText>
      </w:r>
      <w:r>
        <w:rPr>
          <w:color w:val="auto"/>
        </w:rPr>
        <w:fldChar w:fldCharType="separate"/>
      </w:r>
      <w:r>
        <w:rPr>
          <w:color w:val="auto"/>
        </w:rPr>
        <w:t>59</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"_Toc492850119" </w:instrText>
      </w:r>
      <w:r>
        <w:fldChar w:fldCharType="separate"/>
      </w:r>
      <w:r>
        <w:rPr>
          <w:rStyle w:val="52"/>
          <w:rFonts w:hint="eastAsia"/>
          <w:color w:val="auto"/>
        </w:rPr>
        <w:t>第四节</w:t>
      </w:r>
      <w:r>
        <w:rPr>
          <w:rStyle w:val="52"/>
          <w:color w:val="auto"/>
        </w:rPr>
        <w:t xml:space="preserve"> </w:t>
      </w:r>
      <w:r>
        <w:rPr>
          <w:rStyle w:val="52"/>
          <w:rFonts w:hint="eastAsia"/>
          <w:color w:val="auto"/>
        </w:rPr>
        <w:t>居住用地规划与住房保障</w:t>
      </w:r>
      <w:r>
        <w:rPr>
          <w:color w:val="auto"/>
        </w:rPr>
        <w:tab/>
      </w:r>
      <w:r>
        <w:rPr>
          <w:color w:val="auto"/>
        </w:rPr>
        <w:fldChar w:fldCharType="begin"/>
      </w:r>
      <w:r>
        <w:rPr>
          <w:color w:val="auto"/>
        </w:rPr>
        <w:instrText xml:space="preserve"> PAGEREF _Toc492850119 \h </w:instrText>
      </w:r>
      <w:r>
        <w:rPr>
          <w:color w:val="auto"/>
        </w:rPr>
        <w:fldChar w:fldCharType="separate"/>
      </w:r>
      <w:r>
        <w:rPr>
          <w:color w:val="auto"/>
        </w:rPr>
        <w:t>61</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"_Toc492850120" </w:instrText>
      </w:r>
      <w:r>
        <w:fldChar w:fldCharType="separate"/>
      </w:r>
      <w:r>
        <w:rPr>
          <w:rStyle w:val="52"/>
          <w:rFonts w:hint="eastAsia"/>
          <w:color w:val="auto"/>
        </w:rPr>
        <w:t>第五节</w:t>
      </w:r>
      <w:r>
        <w:rPr>
          <w:rStyle w:val="52"/>
          <w:color w:val="auto"/>
        </w:rPr>
        <w:t xml:space="preserve"> </w:t>
      </w:r>
      <w:r>
        <w:rPr>
          <w:rStyle w:val="52"/>
          <w:rFonts w:hint="eastAsia"/>
          <w:color w:val="auto"/>
        </w:rPr>
        <w:t>公共设施用地规划</w:t>
      </w:r>
      <w:r>
        <w:rPr>
          <w:color w:val="auto"/>
        </w:rPr>
        <w:tab/>
      </w:r>
      <w:r>
        <w:rPr>
          <w:color w:val="auto"/>
        </w:rPr>
        <w:fldChar w:fldCharType="begin"/>
      </w:r>
      <w:r>
        <w:rPr>
          <w:color w:val="auto"/>
        </w:rPr>
        <w:instrText xml:space="preserve"> PAGEREF _Toc492850120 \h </w:instrText>
      </w:r>
      <w:r>
        <w:rPr>
          <w:color w:val="auto"/>
        </w:rPr>
        <w:fldChar w:fldCharType="separate"/>
      </w:r>
      <w:r>
        <w:rPr>
          <w:color w:val="auto"/>
        </w:rPr>
        <w:t>62</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"_Toc492850121" </w:instrText>
      </w:r>
      <w:r>
        <w:fldChar w:fldCharType="separate"/>
      </w:r>
      <w:r>
        <w:rPr>
          <w:rStyle w:val="52"/>
          <w:rFonts w:hint="eastAsia"/>
          <w:color w:val="auto"/>
        </w:rPr>
        <w:t>第六节</w:t>
      </w:r>
      <w:r>
        <w:rPr>
          <w:rStyle w:val="52"/>
          <w:color w:val="auto"/>
        </w:rPr>
        <w:t xml:space="preserve"> </w:t>
      </w:r>
      <w:r>
        <w:rPr>
          <w:rStyle w:val="52"/>
          <w:rFonts w:hint="eastAsia"/>
          <w:color w:val="auto"/>
        </w:rPr>
        <w:t>工业与仓储用地规划</w:t>
      </w:r>
      <w:r>
        <w:rPr>
          <w:color w:val="auto"/>
        </w:rPr>
        <w:tab/>
      </w:r>
      <w:r>
        <w:rPr>
          <w:color w:val="auto"/>
        </w:rPr>
        <w:fldChar w:fldCharType="begin"/>
      </w:r>
      <w:r>
        <w:rPr>
          <w:color w:val="auto"/>
        </w:rPr>
        <w:instrText xml:space="preserve"> PAGEREF _Toc492850121 \h </w:instrText>
      </w:r>
      <w:r>
        <w:rPr>
          <w:color w:val="auto"/>
        </w:rPr>
        <w:fldChar w:fldCharType="separate"/>
      </w:r>
      <w:r>
        <w:rPr>
          <w:color w:val="auto"/>
        </w:rPr>
        <w:t>65</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"_Toc492850122" </w:instrText>
      </w:r>
      <w:r>
        <w:fldChar w:fldCharType="separate"/>
      </w:r>
      <w:r>
        <w:rPr>
          <w:rStyle w:val="52"/>
          <w:rFonts w:hint="eastAsia"/>
          <w:color w:val="auto"/>
        </w:rPr>
        <w:t>第七节</w:t>
      </w:r>
      <w:r>
        <w:rPr>
          <w:rStyle w:val="52"/>
          <w:color w:val="auto"/>
        </w:rPr>
        <w:t xml:space="preserve"> </w:t>
      </w:r>
      <w:r>
        <w:rPr>
          <w:rStyle w:val="52"/>
          <w:rFonts w:hint="eastAsia"/>
          <w:color w:val="auto"/>
        </w:rPr>
        <w:t>绿地系统规划</w:t>
      </w:r>
      <w:r>
        <w:rPr>
          <w:color w:val="auto"/>
        </w:rPr>
        <w:tab/>
      </w:r>
      <w:r>
        <w:rPr>
          <w:color w:val="auto"/>
        </w:rPr>
        <w:fldChar w:fldCharType="begin"/>
      </w:r>
      <w:r>
        <w:rPr>
          <w:color w:val="auto"/>
        </w:rPr>
        <w:instrText xml:space="preserve"> PAGEREF _Toc492850122 \h </w:instrText>
      </w:r>
      <w:r>
        <w:rPr>
          <w:color w:val="auto"/>
        </w:rPr>
        <w:fldChar w:fldCharType="separate"/>
      </w:r>
      <w:r>
        <w:rPr>
          <w:color w:val="auto"/>
        </w:rPr>
        <w:t>66</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"_Toc492850123" </w:instrText>
      </w:r>
      <w:r>
        <w:fldChar w:fldCharType="separate"/>
      </w:r>
      <w:r>
        <w:rPr>
          <w:rStyle w:val="52"/>
          <w:rFonts w:hint="eastAsia"/>
          <w:color w:val="auto"/>
        </w:rPr>
        <w:t>第八节</w:t>
      </w:r>
      <w:r>
        <w:rPr>
          <w:rStyle w:val="52"/>
          <w:color w:val="auto"/>
        </w:rPr>
        <w:t xml:space="preserve"> </w:t>
      </w:r>
      <w:r>
        <w:rPr>
          <w:rStyle w:val="52"/>
          <w:rFonts w:hint="eastAsia"/>
          <w:color w:val="auto"/>
        </w:rPr>
        <w:t>景观风貌规划</w:t>
      </w:r>
      <w:r>
        <w:rPr>
          <w:color w:val="auto"/>
        </w:rPr>
        <w:tab/>
      </w:r>
      <w:r>
        <w:rPr>
          <w:color w:val="auto"/>
        </w:rPr>
        <w:fldChar w:fldCharType="begin"/>
      </w:r>
      <w:r>
        <w:rPr>
          <w:color w:val="auto"/>
        </w:rPr>
        <w:instrText xml:space="preserve"> PAGEREF _Toc492850123 \h </w:instrText>
      </w:r>
      <w:r>
        <w:rPr>
          <w:color w:val="auto"/>
        </w:rPr>
        <w:fldChar w:fldCharType="separate"/>
      </w:r>
      <w:r>
        <w:rPr>
          <w:color w:val="auto"/>
        </w:rPr>
        <w:t>68</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"_Toc492850124" </w:instrText>
      </w:r>
      <w:r>
        <w:fldChar w:fldCharType="separate"/>
      </w:r>
      <w:r>
        <w:rPr>
          <w:rStyle w:val="52"/>
          <w:rFonts w:hint="eastAsia"/>
          <w:color w:val="auto"/>
        </w:rPr>
        <w:t>第九节</w:t>
      </w:r>
      <w:r>
        <w:rPr>
          <w:rStyle w:val="52"/>
          <w:color w:val="auto"/>
        </w:rPr>
        <w:t xml:space="preserve"> </w:t>
      </w:r>
      <w:r>
        <w:rPr>
          <w:rStyle w:val="52"/>
          <w:rFonts w:hint="eastAsia"/>
          <w:color w:val="auto"/>
        </w:rPr>
        <w:t>开发强度与高度分区</w:t>
      </w:r>
      <w:r>
        <w:rPr>
          <w:color w:val="auto"/>
        </w:rPr>
        <w:tab/>
      </w:r>
      <w:r>
        <w:rPr>
          <w:color w:val="auto"/>
        </w:rPr>
        <w:fldChar w:fldCharType="begin"/>
      </w:r>
      <w:r>
        <w:rPr>
          <w:color w:val="auto"/>
        </w:rPr>
        <w:instrText xml:space="preserve"> PAGEREF _Toc492850124 \h </w:instrText>
      </w:r>
      <w:r>
        <w:rPr>
          <w:color w:val="auto"/>
        </w:rPr>
        <w:fldChar w:fldCharType="separate"/>
      </w:r>
      <w:r>
        <w:rPr>
          <w:color w:val="auto"/>
        </w:rPr>
        <w:t>68</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"_Toc492850125" </w:instrText>
      </w:r>
      <w:r>
        <w:fldChar w:fldCharType="separate"/>
      </w:r>
      <w:r>
        <w:rPr>
          <w:rStyle w:val="52"/>
          <w:rFonts w:hint="eastAsia"/>
          <w:color w:val="auto"/>
        </w:rPr>
        <w:t>第十节</w:t>
      </w:r>
      <w:r>
        <w:rPr>
          <w:rStyle w:val="52"/>
          <w:color w:val="auto"/>
        </w:rPr>
        <w:t xml:space="preserve"> </w:t>
      </w:r>
      <w:r>
        <w:rPr>
          <w:rStyle w:val="52"/>
          <w:rFonts w:hint="eastAsia"/>
          <w:color w:val="auto"/>
        </w:rPr>
        <w:t>旧城更新规划</w:t>
      </w:r>
      <w:r>
        <w:rPr>
          <w:color w:val="auto"/>
        </w:rPr>
        <w:tab/>
      </w:r>
      <w:r>
        <w:rPr>
          <w:color w:val="auto"/>
        </w:rPr>
        <w:fldChar w:fldCharType="begin"/>
      </w:r>
      <w:r>
        <w:rPr>
          <w:color w:val="auto"/>
        </w:rPr>
        <w:instrText xml:space="preserve"> PAGEREF _Toc492850125 \h </w:instrText>
      </w:r>
      <w:r>
        <w:rPr>
          <w:color w:val="auto"/>
        </w:rPr>
        <w:fldChar w:fldCharType="separate"/>
      </w:r>
      <w:r>
        <w:rPr>
          <w:color w:val="auto"/>
        </w:rPr>
        <w:t>69</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"_Toc492850126" </w:instrText>
      </w:r>
      <w:r>
        <w:fldChar w:fldCharType="separate"/>
      </w:r>
      <w:r>
        <w:rPr>
          <w:rStyle w:val="52"/>
          <w:rFonts w:hint="eastAsia"/>
          <w:color w:val="auto"/>
        </w:rPr>
        <w:t>第十一节</w:t>
      </w:r>
      <w:r>
        <w:rPr>
          <w:rStyle w:val="52"/>
          <w:color w:val="auto"/>
        </w:rPr>
        <w:t xml:space="preserve"> </w:t>
      </w:r>
      <w:r>
        <w:rPr>
          <w:rStyle w:val="52"/>
          <w:rFonts w:hint="eastAsia"/>
          <w:color w:val="auto"/>
        </w:rPr>
        <w:t>中心城区综合交通规划</w:t>
      </w:r>
      <w:r>
        <w:rPr>
          <w:color w:val="auto"/>
        </w:rPr>
        <w:tab/>
      </w:r>
      <w:r>
        <w:rPr>
          <w:color w:val="auto"/>
        </w:rPr>
        <w:fldChar w:fldCharType="begin"/>
      </w:r>
      <w:r>
        <w:rPr>
          <w:color w:val="auto"/>
        </w:rPr>
        <w:instrText xml:space="preserve"> PAGEREF _Toc492850126 \h </w:instrText>
      </w:r>
      <w:r>
        <w:rPr>
          <w:color w:val="auto"/>
        </w:rPr>
        <w:fldChar w:fldCharType="separate"/>
      </w:r>
      <w:r>
        <w:rPr>
          <w:color w:val="auto"/>
        </w:rPr>
        <w:t>71</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"_Toc492850127" </w:instrText>
      </w:r>
      <w:r>
        <w:fldChar w:fldCharType="separate"/>
      </w:r>
      <w:r>
        <w:rPr>
          <w:rStyle w:val="52"/>
          <w:rFonts w:hint="eastAsia"/>
          <w:color w:val="auto"/>
        </w:rPr>
        <w:t>第十二节</w:t>
      </w:r>
      <w:r>
        <w:rPr>
          <w:rStyle w:val="52"/>
          <w:color w:val="auto"/>
        </w:rPr>
        <w:t xml:space="preserve"> </w:t>
      </w:r>
      <w:r>
        <w:rPr>
          <w:rStyle w:val="52"/>
          <w:rFonts w:hint="eastAsia"/>
          <w:color w:val="auto"/>
        </w:rPr>
        <w:t>中心城区基础设施规划</w:t>
      </w:r>
      <w:r>
        <w:rPr>
          <w:color w:val="auto"/>
        </w:rPr>
        <w:tab/>
      </w:r>
      <w:r>
        <w:rPr>
          <w:color w:val="auto"/>
        </w:rPr>
        <w:fldChar w:fldCharType="begin"/>
      </w:r>
      <w:r>
        <w:rPr>
          <w:color w:val="auto"/>
        </w:rPr>
        <w:instrText xml:space="preserve"> PAGEREF _Toc492850127 \h </w:instrText>
      </w:r>
      <w:r>
        <w:rPr>
          <w:color w:val="auto"/>
        </w:rPr>
        <w:fldChar w:fldCharType="separate"/>
      </w:r>
      <w:r>
        <w:rPr>
          <w:color w:val="auto"/>
        </w:rPr>
        <w:t>78</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"_Toc492850128" </w:instrText>
      </w:r>
      <w:r>
        <w:fldChar w:fldCharType="separate"/>
      </w:r>
      <w:r>
        <w:rPr>
          <w:rStyle w:val="52"/>
          <w:rFonts w:hint="eastAsia"/>
          <w:color w:val="auto"/>
        </w:rPr>
        <w:t>第十三节</w:t>
      </w:r>
      <w:r>
        <w:rPr>
          <w:rStyle w:val="52"/>
          <w:color w:val="auto"/>
        </w:rPr>
        <w:t xml:space="preserve"> </w:t>
      </w:r>
      <w:r>
        <w:rPr>
          <w:rStyle w:val="52"/>
          <w:rFonts w:hint="eastAsia"/>
          <w:color w:val="auto"/>
        </w:rPr>
        <w:t>中心城区环境保护规划</w:t>
      </w:r>
      <w:r>
        <w:rPr>
          <w:color w:val="auto"/>
        </w:rPr>
        <w:tab/>
      </w:r>
      <w:r>
        <w:rPr>
          <w:color w:val="auto"/>
        </w:rPr>
        <w:fldChar w:fldCharType="begin"/>
      </w:r>
      <w:r>
        <w:rPr>
          <w:color w:val="auto"/>
        </w:rPr>
        <w:instrText xml:space="preserve"> PAGEREF _Toc492850128 \h </w:instrText>
      </w:r>
      <w:r>
        <w:rPr>
          <w:color w:val="auto"/>
        </w:rPr>
        <w:fldChar w:fldCharType="separate"/>
      </w:r>
      <w:r>
        <w:rPr>
          <w:color w:val="auto"/>
        </w:rPr>
        <w:t>86</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"_Toc492850129" </w:instrText>
      </w:r>
      <w:r>
        <w:fldChar w:fldCharType="separate"/>
      </w:r>
      <w:r>
        <w:rPr>
          <w:rStyle w:val="52"/>
          <w:rFonts w:hint="eastAsia" w:ascii="Arial" w:hAnsi="Arial"/>
          <w:color w:val="auto"/>
        </w:rPr>
        <w:t>第十四节 中心城区综合防灾规划</w:t>
      </w:r>
      <w:r>
        <w:rPr>
          <w:color w:val="auto"/>
        </w:rPr>
        <w:tab/>
      </w:r>
      <w:r>
        <w:rPr>
          <w:color w:val="auto"/>
        </w:rPr>
        <w:fldChar w:fldCharType="begin"/>
      </w:r>
      <w:r>
        <w:rPr>
          <w:color w:val="auto"/>
        </w:rPr>
        <w:instrText xml:space="preserve"> PAGEREF _Toc492850129 \h </w:instrText>
      </w:r>
      <w:r>
        <w:rPr>
          <w:color w:val="auto"/>
        </w:rPr>
        <w:fldChar w:fldCharType="separate"/>
      </w:r>
      <w:r>
        <w:rPr>
          <w:color w:val="auto"/>
        </w:rPr>
        <w:t>87</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"_Toc492850130" </w:instrText>
      </w:r>
      <w:r>
        <w:fldChar w:fldCharType="separate"/>
      </w:r>
      <w:r>
        <w:rPr>
          <w:rStyle w:val="52"/>
          <w:rFonts w:hint="eastAsia" w:ascii="Arial" w:hAnsi="Arial"/>
          <w:color w:val="auto"/>
        </w:rPr>
        <w:t>第十五节 地下空间规划</w:t>
      </w:r>
      <w:r>
        <w:rPr>
          <w:color w:val="auto"/>
        </w:rPr>
        <w:tab/>
      </w:r>
      <w:r>
        <w:rPr>
          <w:color w:val="auto"/>
        </w:rPr>
        <w:fldChar w:fldCharType="begin"/>
      </w:r>
      <w:r>
        <w:rPr>
          <w:color w:val="auto"/>
        </w:rPr>
        <w:instrText xml:space="preserve"> PAGEREF _Toc492850130 \h </w:instrText>
      </w:r>
      <w:r>
        <w:rPr>
          <w:color w:val="auto"/>
        </w:rPr>
        <w:fldChar w:fldCharType="separate"/>
      </w:r>
      <w:r>
        <w:rPr>
          <w:color w:val="auto"/>
        </w:rPr>
        <w:t>89</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"_Toc492850131" </w:instrText>
      </w:r>
      <w:r>
        <w:fldChar w:fldCharType="separate"/>
      </w:r>
      <w:r>
        <w:rPr>
          <w:rStyle w:val="52"/>
          <w:rFonts w:hint="eastAsia" w:ascii="Arial" w:hAnsi="Arial"/>
          <w:color w:val="auto"/>
        </w:rPr>
        <w:t>第十六节 发展时序</w:t>
      </w:r>
      <w:r>
        <w:rPr>
          <w:color w:val="auto"/>
        </w:rPr>
        <w:tab/>
      </w:r>
      <w:r>
        <w:rPr>
          <w:color w:val="auto"/>
        </w:rPr>
        <w:fldChar w:fldCharType="begin"/>
      </w:r>
      <w:r>
        <w:rPr>
          <w:color w:val="auto"/>
        </w:rPr>
        <w:instrText xml:space="preserve"> PAGEREF _Toc492850131 \h </w:instrText>
      </w:r>
      <w:r>
        <w:rPr>
          <w:color w:val="auto"/>
        </w:rPr>
        <w:fldChar w:fldCharType="separate"/>
      </w:r>
      <w:r>
        <w:rPr>
          <w:color w:val="auto"/>
        </w:rPr>
        <w:t>91</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"_Toc492850132" </w:instrText>
      </w:r>
      <w:r>
        <w:fldChar w:fldCharType="separate"/>
      </w:r>
      <w:r>
        <w:rPr>
          <w:rStyle w:val="52"/>
          <w:rFonts w:hint="eastAsia" w:ascii="Arial" w:hAnsi="Arial"/>
          <w:color w:val="auto"/>
        </w:rPr>
        <w:t>第十七节 中心城区四线划定</w:t>
      </w:r>
      <w:r>
        <w:rPr>
          <w:color w:val="auto"/>
        </w:rPr>
        <w:tab/>
      </w:r>
      <w:r>
        <w:rPr>
          <w:color w:val="auto"/>
        </w:rPr>
        <w:fldChar w:fldCharType="begin"/>
      </w:r>
      <w:r>
        <w:rPr>
          <w:color w:val="auto"/>
        </w:rPr>
        <w:instrText xml:space="preserve"> PAGEREF _Toc492850132 \h </w:instrText>
      </w:r>
      <w:r>
        <w:rPr>
          <w:color w:val="auto"/>
        </w:rPr>
        <w:fldChar w:fldCharType="separate"/>
      </w:r>
      <w:r>
        <w:rPr>
          <w:color w:val="auto"/>
        </w:rPr>
        <w:t>92</w:t>
      </w:r>
      <w:r>
        <w:rPr>
          <w:color w:val="auto"/>
        </w:rPr>
        <w:fldChar w:fldCharType="end"/>
      </w:r>
      <w:r>
        <w:rPr>
          <w:color w:val="auto"/>
        </w:rPr>
        <w:fldChar w:fldCharType="end"/>
      </w:r>
    </w:p>
    <w:p>
      <w:pPr>
        <w:pStyle w:val="33"/>
        <w:spacing w:before="156"/>
        <w:rPr>
          <w:rFonts w:asciiTheme="minorHAnsi" w:hAnsiTheme="minorHAnsi" w:eastAsiaTheme="minorEastAsia" w:cstheme="minorBidi"/>
          <w:b w:val="0"/>
          <w:bCs w:val="0"/>
          <w:caps w:val="0"/>
          <w:sz w:val="21"/>
          <w:szCs w:val="22"/>
        </w:rPr>
      </w:pPr>
      <w:r>
        <w:fldChar w:fldCharType="begin"/>
      </w:r>
      <w:r>
        <w:instrText xml:space="preserve"> HYPERLINK \l "_Toc492850133" </w:instrText>
      </w:r>
      <w:r>
        <w:fldChar w:fldCharType="separate"/>
      </w:r>
      <w:r>
        <w:rPr>
          <w:rStyle w:val="52"/>
          <w:rFonts w:hint="eastAsia"/>
          <w:color w:val="auto"/>
        </w:rPr>
        <w:t>第七章 规划实施</w:t>
      </w:r>
      <w:r>
        <w:tab/>
      </w:r>
      <w:r>
        <w:fldChar w:fldCharType="begin"/>
      </w:r>
      <w:r>
        <w:instrText xml:space="preserve"> PAGEREF _Toc492850133 \h </w:instrText>
      </w:r>
      <w:r>
        <w:fldChar w:fldCharType="separate"/>
      </w:r>
      <w:r>
        <w:t>93</w:t>
      </w:r>
      <w:r>
        <w:fldChar w:fldCharType="end"/>
      </w:r>
      <w:r>
        <w:fldChar w:fldCharType="end"/>
      </w:r>
    </w:p>
    <w:p>
      <w:pPr>
        <w:pStyle w:val="33"/>
        <w:spacing w:before="156"/>
        <w:rPr>
          <w:rFonts w:asciiTheme="minorHAnsi" w:hAnsiTheme="minorHAnsi" w:eastAsiaTheme="minorEastAsia" w:cstheme="minorBidi"/>
          <w:b w:val="0"/>
          <w:bCs w:val="0"/>
          <w:caps w:val="0"/>
          <w:sz w:val="21"/>
          <w:szCs w:val="22"/>
        </w:rPr>
      </w:pPr>
      <w:r>
        <w:fldChar w:fldCharType="begin"/>
      </w:r>
      <w:r>
        <w:instrText xml:space="preserve"> HYPERLINK \l "_Toc492850134" </w:instrText>
      </w:r>
      <w:r>
        <w:fldChar w:fldCharType="separate"/>
      </w:r>
      <w:r>
        <w:rPr>
          <w:rStyle w:val="52"/>
          <w:rFonts w:hint="eastAsia"/>
          <w:color w:val="auto"/>
        </w:rPr>
        <w:t>第八章 附则</w:t>
      </w:r>
      <w:r>
        <w:tab/>
      </w:r>
      <w:r>
        <w:fldChar w:fldCharType="begin"/>
      </w:r>
      <w:r>
        <w:instrText xml:space="preserve"> PAGEREF _Toc492850134 \h </w:instrText>
      </w:r>
      <w:r>
        <w:fldChar w:fldCharType="separate"/>
      </w:r>
      <w:r>
        <w:t>95</w:t>
      </w:r>
      <w:r>
        <w:fldChar w:fldCharType="end"/>
      </w:r>
      <w:r>
        <w:fldChar w:fldCharType="end"/>
      </w:r>
    </w:p>
    <w:p>
      <w:pPr>
        <w:pStyle w:val="33"/>
        <w:spacing w:before="156"/>
        <w:rPr>
          <w:rFonts w:asciiTheme="minorHAnsi" w:hAnsiTheme="minorHAnsi" w:eastAsiaTheme="minorEastAsia" w:cstheme="minorBidi"/>
          <w:b w:val="0"/>
          <w:bCs w:val="0"/>
          <w:caps w:val="0"/>
          <w:sz w:val="21"/>
          <w:szCs w:val="22"/>
        </w:rPr>
      </w:pPr>
      <w:r>
        <w:fldChar w:fldCharType="begin"/>
      </w:r>
      <w:r>
        <w:instrText xml:space="preserve"> HYPERLINK \l "_Toc492850135" </w:instrText>
      </w:r>
      <w:r>
        <w:fldChar w:fldCharType="separate"/>
      </w:r>
      <w:r>
        <w:rPr>
          <w:rStyle w:val="52"/>
          <w:rFonts w:hint="eastAsia"/>
          <w:color w:val="auto"/>
        </w:rPr>
        <w:t>附录</w:t>
      </w:r>
      <w:r>
        <w:tab/>
      </w:r>
      <w:r>
        <w:fldChar w:fldCharType="begin"/>
      </w:r>
      <w:r>
        <w:instrText xml:space="preserve"> PAGEREF _Toc492850135 \h </w:instrText>
      </w:r>
      <w:r>
        <w:fldChar w:fldCharType="separate"/>
      </w:r>
      <w:r>
        <w:t>96</w:t>
      </w:r>
      <w:r>
        <w:fldChar w:fldCharType="end"/>
      </w:r>
      <w: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"_Toc492850136" </w:instrText>
      </w:r>
      <w:r>
        <w:fldChar w:fldCharType="separate"/>
      </w:r>
      <w:r>
        <w:rPr>
          <w:rStyle w:val="52"/>
          <w:rFonts w:hint="eastAsia" w:ascii="Arial" w:hAnsi="Arial"/>
          <w:color w:val="auto"/>
        </w:rPr>
        <w:t>附录一：省政府办公厅关于晋中市城市总体规划修改的复函</w:t>
      </w:r>
      <w:r>
        <w:rPr>
          <w:color w:val="auto"/>
        </w:rPr>
        <w:tab/>
      </w:r>
      <w:r>
        <w:rPr>
          <w:color w:val="auto"/>
        </w:rPr>
        <w:fldChar w:fldCharType="begin"/>
      </w:r>
      <w:r>
        <w:rPr>
          <w:color w:val="auto"/>
        </w:rPr>
        <w:instrText xml:space="preserve"> PAGEREF _Toc492850136 \h </w:instrText>
      </w:r>
      <w:r>
        <w:rPr>
          <w:color w:val="auto"/>
        </w:rPr>
        <w:fldChar w:fldCharType="separate"/>
      </w:r>
      <w:r>
        <w:rPr>
          <w:color w:val="auto"/>
        </w:rPr>
        <w:t>96</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"_Toc492850137" </w:instrText>
      </w:r>
      <w:r>
        <w:fldChar w:fldCharType="separate"/>
      </w:r>
      <w:r>
        <w:rPr>
          <w:rStyle w:val="52"/>
          <w:rFonts w:hint="eastAsia" w:ascii="Arial" w:hAnsi="Arial"/>
          <w:color w:val="auto"/>
        </w:rPr>
        <w:t>附录二：山西省住建厅关于晋中市城市总体规划纲要审查意见</w:t>
      </w:r>
      <w:r>
        <w:rPr>
          <w:color w:val="auto"/>
        </w:rPr>
        <w:tab/>
      </w:r>
      <w:r>
        <w:rPr>
          <w:color w:val="auto"/>
        </w:rPr>
        <w:fldChar w:fldCharType="begin"/>
      </w:r>
      <w:r>
        <w:rPr>
          <w:color w:val="auto"/>
        </w:rPr>
        <w:instrText xml:space="preserve"> PAGEREF _Toc492850137 \h </w:instrText>
      </w:r>
      <w:r>
        <w:rPr>
          <w:color w:val="auto"/>
        </w:rPr>
        <w:fldChar w:fldCharType="separate"/>
      </w:r>
      <w:r>
        <w:rPr>
          <w:color w:val="auto"/>
        </w:rPr>
        <w:t>98</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"_Toc492850138" </w:instrText>
      </w:r>
      <w:r>
        <w:fldChar w:fldCharType="separate"/>
      </w:r>
      <w:r>
        <w:rPr>
          <w:rStyle w:val="52"/>
          <w:rFonts w:hint="eastAsia" w:ascii="Arial" w:hAnsi="Arial"/>
          <w:color w:val="auto"/>
        </w:rPr>
        <w:t>附录三：山西省住建厅关于晋中市城市总体规划成果评审意见</w:t>
      </w:r>
      <w:r>
        <w:rPr>
          <w:color w:val="auto"/>
        </w:rPr>
        <w:tab/>
      </w:r>
      <w:r>
        <w:rPr>
          <w:color w:val="auto"/>
        </w:rPr>
        <w:fldChar w:fldCharType="begin"/>
      </w:r>
      <w:r>
        <w:rPr>
          <w:color w:val="auto"/>
        </w:rPr>
        <w:instrText xml:space="preserve"> PAGEREF _Toc492850138 \h </w:instrText>
      </w:r>
      <w:r>
        <w:rPr>
          <w:color w:val="auto"/>
        </w:rPr>
        <w:fldChar w:fldCharType="separate"/>
      </w:r>
      <w:r>
        <w:rPr>
          <w:color w:val="auto"/>
        </w:rPr>
        <w:t>101</w:t>
      </w:r>
      <w:r>
        <w:rPr>
          <w:color w:val="auto"/>
        </w:rPr>
        <w:fldChar w:fldCharType="end"/>
      </w:r>
      <w:r>
        <w:rPr>
          <w:color w:val="auto"/>
        </w:rPr>
        <w:fldChar w:fldCharType="end"/>
      </w:r>
    </w:p>
    <w:p>
      <w:pPr>
        <w:pStyle w:val="33"/>
        <w:spacing w:before="156"/>
        <w:rPr>
          <w:rFonts w:asciiTheme="minorHAnsi" w:hAnsiTheme="minorHAnsi" w:eastAsiaTheme="minorEastAsia" w:cstheme="minorBidi"/>
          <w:b w:val="0"/>
          <w:bCs w:val="0"/>
          <w:caps w:val="0"/>
          <w:sz w:val="21"/>
          <w:szCs w:val="22"/>
        </w:rPr>
      </w:pPr>
      <w:r>
        <w:fldChar w:fldCharType="begin"/>
      </w:r>
      <w:r>
        <w:instrText xml:space="preserve"> HYPERLINK \l "_Toc492850139" </w:instrText>
      </w:r>
      <w:r>
        <w:fldChar w:fldCharType="separate"/>
      </w:r>
      <w:r>
        <w:rPr>
          <w:rStyle w:val="52"/>
          <w:rFonts w:hint="eastAsia"/>
          <w:color w:val="auto"/>
        </w:rPr>
        <w:t>附表</w:t>
      </w:r>
      <w:r>
        <w:tab/>
      </w:r>
      <w:r>
        <w:fldChar w:fldCharType="begin"/>
      </w:r>
      <w:r>
        <w:instrText xml:space="preserve"> PAGEREF _Toc492850139 \h </w:instrText>
      </w:r>
      <w:r>
        <w:fldChar w:fldCharType="separate"/>
      </w:r>
      <w:r>
        <w:t>105</w:t>
      </w:r>
      <w:r>
        <w:fldChar w:fldCharType="end"/>
      </w:r>
      <w: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"_Toc492850140" </w:instrText>
      </w:r>
      <w:r>
        <w:fldChar w:fldCharType="separate"/>
      </w:r>
      <w:r>
        <w:rPr>
          <w:rStyle w:val="52"/>
          <w:rFonts w:hint="eastAsia" w:ascii="Arial" w:hAnsi="Arial"/>
          <w:color w:val="auto"/>
        </w:rPr>
        <w:t>附表</w:t>
      </w:r>
      <w:r>
        <w:rPr>
          <w:rStyle w:val="52"/>
          <w:rFonts w:ascii="Arial" w:hAnsi="Arial"/>
          <w:color w:val="auto"/>
        </w:rPr>
        <w:t>1</w:t>
      </w:r>
      <w:r>
        <w:rPr>
          <w:rStyle w:val="52"/>
          <w:rFonts w:hint="eastAsia" w:ascii="Arial" w:hAnsi="Arial"/>
          <w:color w:val="auto"/>
        </w:rPr>
        <w:t>：晋中市经济、社会、资源、环境发展指标体系表</w:t>
      </w:r>
      <w:r>
        <w:rPr>
          <w:color w:val="auto"/>
        </w:rPr>
        <w:tab/>
      </w:r>
      <w:r>
        <w:rPr>
          <w:color w:val="auto"/>
        </w:rPr>
        <w:fldChar w:fldCharType="begin"/>
      </w:r>
      <w:r>
        <w:rPr>
          <w:color w:val="auto"/>
        </w:rPr>
        <w:instrText xml:space="preserve"> PAGEREF _Toc492850140 \h </w:instrText>
      </w:r>
      <w:r>
        <w:rPr>
          <w:color w:val="auto"/>
        </w:rPr>
        <w:fldChar w:fldCharType="separate"/>
      </w:r>
      <w:r>
        <w:rPr>
          <w:color w:val="auto"/>
        </w:rPr>
        <w:t>105</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"_Toc492850141" </w:instrText>
      </w:r>
      <w:r>
        <w:fldChar w:fldCharType="separate"/>
      </w:r>
      <w:r>
        <w:rPr>
          <w:rStyle w:val="52"/>
          <w:rFonts w:hint="eastAsia" w:ascii="Arial" w:hAnsi="Arial"/>
          <w:color w:val="auto"/>
        </w:rPr>
        <w:t>附表</w:t>
      </w:r>
      <w:r>
        <w:rPr>
          <w:rStyle w:val="52"/>
          <w:rFonts w:ascii="Arial" w:hAnsi="Arial"/>
          <w:color w:val="auto"/>
        </w:rPr>
        <w:t>2</w:t>
      </w:r>
      <w:r>
        <w:rPr>
          <w:rStyle w:val="52"/>
          <w:rFonts w:hint="eastAsia" w:ascii="Arial" w:hAnsi="Arial"/>
          <w:color w:val="auto"/>
        </w:rPr>
        <w:t>：规划城镇等级规模（</w:t>
      </w:r>
      <w:r>
        <w:rPr>
          <w:rStyle w:val="52"/>
          <w:rFonts w:ascii="Arial" w:hAnsi="Arial"/>
          <w:color w:val="auto"/>
        </w:rPr>
        <w:t>2030</w:t>
      </w:r>
      <w:r>
        <w:rPr>
          <w:rStyle w:val="52"/>
          <w:rFonts w:hint="eastAsia" w:ascii="Arial" w:hAnsi="Arial"/>
          <w:color w:val="auto"/>
        </w:rPr>
        <w:t>年）</w:t>
      </w:r>
      <w:r>
        <w:rPr>
          <w:color w:val="auto"/>
        </w:rPr>
        <w:tab/>
      </w:r>
      <w:r>
        <w:rPr>
          <w:color w:val="auto"/>
        </w:rPr>
        <w:fldChar w:fldCharType="begin"/>
      </w:r>
      <w:r>
        <w:rPr>
          <w:color w:val="auto"/>
        </w:rPr>
        <w:instrText xml:space="preserve"> PAGEREF _Toc492850141 \h </w:instrText>
      </w:r>
      <w:r>
        <w:rPr>
          <w:color w:val="auto"/>
        </w:rPr>
        <w:fldChar w:fldCharType="separate"/>
      </w:r>
      <w:r>
        <w:rPr>
          <w:color w:val="auto"/>
        </w:rPr>
        <w:t>107</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"_Toc492850142" </w:instrText>
      </w:r>
      <w:r>
        <w:fldChar w:fldCharType="separate"/>
      </w:r>
      <w:r>
        <w:rPr>
          <w:rStyle w:val="52"/>
          <w:rFonts w:hint="eastAsia" w:ascii="Arial" w:hAnsi="Arial"/>
          <w:color w:val="auto"/>
        </w:rPr>
        <w:t>附表</w:t>
      </w:r>
      <w:r>
        <w:rPr>
          <w:rStyle w:val="52"/>
          <w:rFonts w:ascii="Arial" w:hAnsi="Arial"/>
          <w:color w:val="auto"/>
        </w:rPr>
        <w:t>3</w:t>
      </w:r>
      <w:r>
        <w:rPr>
          <w:rStyle w:val="52"/>
          <w:rFonts w:hint="eastAsia" w:ascii="Arial" w:hAnsi="Arial"/>
          <w:color w:val="auto"/>
        </w:rPr>
        <w:t>：规划重点城镇职能（</w:t>
      </w:r>
      <w:r>
        <w:rPr>
          <w:rStyle w:val="52"/>
          <w:rFonts w:ascii="Arial" w:hAnsi="Arial"/>
          <w:color w:val="auto"/>
        </w:rPr>
        <w:t>2030</w:t>
      </w:r>
      <w:r>
        <w:rPr>
          <w:rStyle w:val="52"/>
          <w:rFonts w:hint="eastAsia" w:ascii="Arial" w:hAnsi="Arial"/>
          <w:color w:val="auto"/>
        </w:rPr>
        <w:t>年）</w:t>
      </w:r>
      <w:r>
        <w:rPr>
          <w:color w:val="auto"/>
        </w:rPr>
        <w:tab/>
      </w:r>
      <w:r>
        <w:rPr>
          <w:color w:val="auto"/>
        </w:rPr>
        <w:fldChar w:fldCharType="begin"/>
      </w:r>
      <w:r>
        <w:rPr>
          <w:color w:val="auto"/>
        </w:rPr>
        <w:instrText xml:space="preserve"> PAGEREF _Toc492850142 \h </w:instrText>
      </w:r>
      <w:r>
        <w:rPr>
          <w:color w:val="auto"/>
        </w:rPr>
        <w:fldChar w:fldCharType="separate"/>
      </w:r>
      <w:r>
        <w:rPr>
          <w:color w:val="auto"/>
        </w:rPr>
        <w:t>108</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"_Toc492850143" </w:instrText>
      </w:r>
      <w:r>
        <w:fldChar w:fldCharType="separate"/>
      </w:r>
      <w:r>
        <w:rPr>
          <w:rStyle w:val="52"/>
          <w:rFonts w:hint="eastAsia" w:ascii="Arial" w:hAnsi="Arial"/>
          <w:color w:val="auto"/>
        </w:rPr>
        <w:t>附表</w:t>
      </w:r>
      <w:r>
        <w:rPr>
          <w:rStyle w:val="52"/>
          <w:rFonts w:ascii="Arial" w:hAnsi="Arial"/>
          <w:color w:val="auto"/>
        </w:rPr>
        <w:t>4</w:t>
      </w:r>
      <w:r>
        <w:rPr>
          <w:rStyle w:val="52"/>
          <w:rFonts w:hint="eastAsia" w:ascii="Arial" w:hAnsi="Arial"/>
          <w:color w:val="auto"/>
        </w:rPr>
        <w:t>：城市规划建设用地平衡表</w:t>
      </w:r>
      <w:r>
        <w:rPr>
          <w:color w:val="auto"/>
        </w:rPr>
        <w:tab/>
      </w:r>
      <w:r>
        <w:rPr>
          <w:color w:val="auto"/>
        </w:rPr>
        <w:fldChar w:fldCharType="begin"/>
      </w:r>
      <w:r>
        <w:rPr>
          <w:color w:val="auto"/>
        </w:rPr>
        <w:instrText xml:space="preserve"> PAGEREF _Toc492850143 \h </w:instrText>
      </w:r>
      <w:r>
        <w:rPr>
          <w:color w:val="auto"/>
        </w:rPr>
        <w:fldChar w:fldCharType="separate"/>
      </w:r>
      <w:r>
        <w:rPr>
          <w:color w:val="auto"/>
        </w:rPr>
        <w:t>109</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"_Toc492850144" </w:instrText>
      </w:r>
      <w:r>
        <w:fldChar w:fldCharType="separate"/>
      </w:r>
      <w:r>
        <w:rPr>
          <w:rStyle w:val="52"/>
          <w:rFonts w:hint="eastAsia" w:ascii="Arial" w:hAnsi="Arial"/>
          <w:color w:val="auto"/>
        </w:rPr>
        <w:t>附表</w:t>
      </w:r>
      <w:r>
        <w:rPr>
          <w:rStyle w:val="52"/>
          <w:rFonts w:ascii="Arial" w:hAnsi="Arial"/>
          <w:color w:val="auto"/>
        </w:rPr>
        <w:t>5</w:t>
      </w:r>
      <w:r>
        <w:rPr>
          <w:rStyle w:val="52"/>
          <w:rFonts w:hint="eastAsia" w:ascii="Arial" w:hAnsi="Arial"/>
          <w:color w:val="auto"/>
        </w:rPr>
        <w:t>：市域国省干线公路规划一览表</w:t>
      </w:r>
      <w:r>
        <w:rPr>
          <w:color w:val="auto"/>
        </w:rPr>
        <w:tab/>
      </w:r>
      <w:r>
        <w:rPr>
          <w:color w:val="auto"/>
        </w:rPr>
        <w:fldChar w:fldCharType="begin"/>
      </w:r>
      <w:r>
        <w:rPr>
          <w:color w:val="auto"/>
        </w:rPr>
        <w:instrText xml:space="preserve"> PAGEREF _Toc492850144 \h </w:instrText>
      </w:r>
      <w:r>
        <w:rPr>
          <w:color w:val="auto"/>
        </w:rPr>
        <w:fldChar w:fldCharType="separate"/>
      </w:r>
      <w:r>
        <w:rPr>
          <w:color w:val="auto"/>
        </w:rPr>
        <w:t>110</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"_Toc492850145" </w:instrText>
      </w:r>
      <w:r>
        <w:fldChar w:fldCharType="separate"/>
      </w:r>
      <w:r>
        <w:rPr>
          <w:rStyle w:val="52"/>
          <w:rFonts w:hint="eastAsia" w:ascii="Arial" w:hAnsi="Arial"/>
          <w:color w:val="auto"/>
        </w:rPr>
        <w:t>附表</w:t>
      </w:r>
      <w:r>
        <w:rPr>
          <w:rStyle w:val="52"/>
          <w:rFonts w:ascii="Arial" w:hAnsi="Arial"/>
          <w:color w:val="auto"/>
        </w:rPr>
        <w:t>6</w:t>
      </w:r>
      <w:r>
        <w:rPr>
          <w:rStyle w:val="52"/>
          <w:rFonts w:hint="eastAsia" w:ascii="Arial" w:hAnsi="Arial"/>
          <w:color w:val="auto"/>
        </w:rPr>
        <w:t>：晋中市域自然保护区一览表</w:t>
      </w:r>
      <w:r>
        <w:rPr>
          <w:color w:val="auto"/>
        </w:rPr>
        <w:tab/>
      </w:r>
      <w:r>
        <w:rPr>
          <w:color w:val="auto"/>
        </w:rPr>
        <w:fldChar w:fldCharType="begin"/>
      </w:r>
      <w:r>
        <w:rPr>
          <w:color w:val="auto"/>
        </w:rPr>
        <w:instrText xml:space="preserve"> PAGEREF _Toc492850145 \h </w:instrText>
      </w:r>
      <w:r>
        <w:rPr>
          <w:color w:val="auto"/>
        </w:rPr>
        <w:fldChar w:fldCharType="separate"/>
      </w:r>
      <w:r>
        <w:rPr>
          <w:color w:val="auto"/>
        </w:rPr>
        <w:t>111</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"_Toc492850146" </w:instrText>
      </w:r>
      <w:r>
        <w:fldChar w:fldCharType="separate"/>
      </w:r>
      <w:r>
        <w:rPr>
          <w:rStyle w:val="52"/>
          <w:rFonts w:hint="eastAsia" w:ascii="Arial" w:hAnsi="Arial"/>
          <w:color w:val="auto"/>
        </w:rPr>
        <w:t>附表</w:t>
      </w:r>
      <w:r>
        <w:rPr>
          <w:rStyle w:val="52"/>
          <w:rFonts w:ascii="Arial" w:hAnsi="Arial"/>
          <w:color w:val="auto"/>
        </w:rPr>
        <w:t>7</w:t>
      </w:r>
      <w:r>
        <w:rPr>
          <w:rStyle w:val="52"/>
          <w:rFonts w:hint="eastAsia" w:ascii="Arial" w:hAnsi="Arial"/>
          <w:color w:val="auto"/>
        </w:rPr>
        <w:t>：晋中市域风景名胜区一览表</w:t>
      </w:r>
      <w:r>
        <w:rPr>
          <w:color w:val="auto"/>
        </w:rPr>
        <w:tab/>
      </w:r>
      <w:r>
        <w:rPr>
          <w:color w:val="auto"/>
        </w:rPr>
        <w:fldChar w:fldCharType="begin"/>
      </w:r>
      <w:r>
        <w:rPr>
          <w:color w:val="auto"/>
        </w:rPr>
        <w:instrText xml:space="preserve"> PAGEREF _Toc492850146 \h </w:instrText>
      </w:r>
      <w:r>
        <w:rPr>
          <w:color w:val="auto"/>
        </w:rPr>
        <w:fldChar w:fldCharType="separate"/>
      </w:r>
      <w:r>
        <w:rPr>
          <w:color w:val="auto"/>
        </w:rPr>
        <w:t>111</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"_Toc492850147" </w:instrText>
      </w:r>
      <w:r>
        <w:fldChar w:fldCharType="separate"/>
      </w:r>
      <w:r>
        <w:rPr>
          <w:rStyle w:val="52"/>
          <w:rFonts w:hint="eastAsia" w:ascii="Arial" w:hAnsi="Arial"/>
          <w:color w:val="auto"/>
        </w:rPr>
        <w:t>附表</w:t>
      </w:r>
      <w:r>
        <w:rPr>
          <w:rStyle w:val="52"/>
          <w:rFonts w:ascii="Arial" w:hAnsi="Arial"/>
          <w:color w:val="auto"/>
        </w:rPr>
        <w:t>8</w:t>
      </w:r>
      <w:r>
        <w:rPr>
          <w:rStyle w:val="52"/>
          <w:rFonts w:hint="eastAsia" w:ascii="Arial" w:hAnsi="Arial"/>
          <w:color w:val="auto"/>
        </w:rPr>
        <w:t>：晋中市域森林公园一览表</w:t>
      </w:r>
      <w:r>
        <w:rPr>
          <w:color w:val="auto"/>
        </w:rPr>
        <w:tab/>
      </w:r>
      <w:r>
        <w:rPr>
          <w:color w:val="auto"/>
        </w:rPr>
        <w:fldChar w:fldCharType="begin"/>
      </w:r>
      <w:r>
        <w:rPr>
          <w:color w:val="auto"/>
        </w:rPr>
        <w:instrText xml:space="preserve"> PAGEREF _Toc492850147 \h </w:instrText>
      </w:r>
      <w:r>
        <w:rPr>
          <w:color w:val="auto"/>
        </w:rPr>
        <w:fldChar w:fldCharType="separate"/>
      </w:r>
      <w:r>
        <w:rPr>
          <w:color w:val="auto"/>
        </w:rPr>
        <w:t>112</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"_Toc492850148" </w:instrText>
      </w:r>
      <w:r>
        <w:fldChar w:fldCharType="separate"/>
      </w:r>
      <w:r>
        <w:rPr>
          <w:rStyle w:val="52"/>
          <w:rFonts w:hint="eastAsia" w:ascii="Arial" w:hAnsi="Arial"/>
          <w:color w:val="auto"/>
        </w:rPr>
        <w:t>附表</w:t>
      </w:r>
      <w:r>
        <w:rPr>
          <w:rStyle w:val="52"/>
          <w:rFonts w:ascii="Arial" w:hAnsi="Arial"/>
          <w:color w:val="auto"/>
        </w:rPr>
        <w:t>9</w:t>
      </w:r>
      <w:r>
        <w:rPr>
          <w:rStyle w:val="52"/>
          <w:rFonts w:hint="eastAsia" w:ascii="Arial" w:hAnsi="Arial"/>
          <w:color w:val="auto"/>
        </w:rPr>
        <w:t>：晋中市域历史文化名镇（村）一览表</w:t>
      </w:r>
      <w:r>
        <w:rPr>
          <w:color w:val="auto"/>
        </w:rPr>
        <w:tab/>
      </w:r>
      <w:r>
        <w:rPr>
          <w:color w:val="auto"/>
        </w:rPr>
        <w:fldChar w:fldCharType="begin"/>
      </w:r>
      <w:r>
        <w:rPr>
          <w:color w:val="auto"/>
        </w:rPr>
        <w:instrText xml:space="preserve"> PAGEREF _Toc492850148 \h </w:instrText>
      </w:r>
      <w:r>
        <w:rPr>
          <w:color w:val="auto"/>
        </w:rPr>
        <w:fldChar w:fldCharType="separate"/>
      </w:r>
      <w:r>
        <w:rPr>
          <w:color w:val="auto"/>
        </w:rPr>
        <w:t>112</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"_Toc492850149" </w:instrText>
      </w:r>
      <w:r>
        <w:fldChar w:fldCharType="separate"/>
      </w:r>
      <w:r>
        <w:rPr>
          <w:rStyle w:val="52"/>
          <w:rFonts w:hint="eastAsia" w:ascii="Arial" w:hAnsi="Arial"/>
          <w:color w:val="auto"/>
        </w:rPr>
        <w:t>附表</w:t>
      </w:r>
      <w:r>
        <w:rPr>
          <w:rStyle w:val="52"/>
          <w:rFonts w:ascii="Arial" w:hAnsi="Arial"/>
          <w:color w:val="auto"/>
        </w:rPr>
        <w:t>10</w:t>
      </w:r>
      <w:r>
        <w:rPr>
          <w:rStyle w:val="52"/>
          <w:rFonts w:hint="eastAsia" w:ascii="Arial" w:hAnsi="Arial"/>
          <w:color w:val="auto"/>
        </w:rPr>
        <w:t>：晋中市域市级以上文物保护单位一览表</w:t>
      </w:r>
      <w:r>
        <w:rPr>
          <w:color w:val="auto"/>
        </w:rPr>
        <w:tab/>
      </w:r>
      <w:r>
        <w:rPr>
          <w:color w:val="auto"/>
        </w:rPr>
        <w:fldChar w:fldCharType="begin"/>
      </w:r>
      <w:r>
        <w:rPr>
          <w:color w:val="auto"/>
        </w:rPr>
        <w:instrText xml:space="preserve"> PAGEREF _Toc492850149 \h </w:instrText>
      </w:r>
      <w:r>
        <w:rPr>
          <w:color w:val="auto"/>
        </w:rPr>
        <w:fldChar w:fldCharType="separate"/>
      </w:r>
      <w:r>
        <w:rPr>
          <w:color w:val="auto"/>
        </w:rPr>
        <w:t>113</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"_Toc492850150" </w:instrText>
      </w:r>
      <w:r>
        <w:fldChar w:fldCharType="separate"/>
      </w:r>
      <w:r>
        <w:rPr>
          <w:rStyle w:val="52"/>
          <w:rFonts w:hint="eastAsia" w:ascii="Arial" w:hAnsi="Arial"/>
          <w:color w:val="auto"/>
        </w:rPr>
        <w:t>附表</w:t>
      </w:r>
      <w:r>
        <w:rPr>
          <w:rStyle w:val="52"/>
          <w:rFonts w:ascii="Arial" w:hAnsi="Arial"/>
          <w:color w:val="auto"/>
        </w:rPr>
        <w:t>11</w:t>
      </w:r>
      <w:r>
        <w:rPr>
          <w:rStyle w:val="52"/>
          <w:rFonts w:hint="eastAsia" w:ascii="Arial" w:hAnsi="Arial"/>
          <w:color w:val="auto"/>
        </w:rPr>
        <w:t>：中心城区重要交通设施规划一览表</w:t>
      </w:r>
      <w:r>
        <w:rPr>
          <w:color w:val="auto"/>
        </w:rPr>
        <w:tab/>
      </w:r>
      <w:r>
        <w:rPr>
          <w:color w:val="auto"/>
        </w:rPr>
        <w:fldChar w:fldCharType="begin"/>
      </w:r>
      <w:r>
        <w:rPr>
          <w:color w:val="auto"/>
        </w:rPr>
        <w:instrText xml:space="preserve"> PAGEREF _Toc492850150 \h </w:instrText>
      </w:r>
      <w:r>
        <w:rPr>
          <w:color w:val="auto"/>
        </w:rPr>
        <w:fldChar w:fldCharType="separate"/>
      </w:r>
      <w:r>
        <w:rPr>
          <w:color w:val="auto"/>
        </w:rPr>
        <w:t>123</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"_Toc492850151" </w:instrText>
      </w:r>
      <w:r>
        <w:fldChar w:fldCharType="separate"/>
      </w:r>
      <w:r>
        <w:rPr>
          <w:rStyle w:val="52"/>
          <w:rFonts w:hint="eastAsia" w:ascii="Arial" w:hAnsi="Arial"/>
          <w:color w:val="auto"/>
        </w:rPr>
        <w:t>附表</w:t>
      </w:r>
      <w:r>
        <w:rPr>
          <w:rStyle w:val="52"/>
          <w:rFonts w:ascii="Arial" w:hAnsi="Arial"/>
          <w:color w:val="auto"/>
        </w:rPr>
        <w:t>12</w:t>
      </w:r>
      <w:r>
        <w:rPr>
          <w:rStyle w:val="52"/>
          <w:rFonts w:hint="eastAsia" w:ascii="Arial" w:hAnsi="Arial"/>
          <w:color w:val="auto"/>
        </w:rPr>
        <w:t>：中心城区规划道路一览表</w:t>
      </w:r>
      <w:r>
        <w:rPr>
          <w:color w:val="auto"/>
        </w:rPr>
        <w:tab/>
      </w:r>
      <w:r>
        <w:rPr>
          <w:color w:val="auto"/>
        </w:rPr>
        <w:fldChar w:fldCharType="begin"/>
      </w:r>
      <w:r>
        <w:rPr>
          <w:color w:val="auto"/>
        </w:rPr>
        <w:instrText xml:space="preserve"> PAGEREF _Toc492850151 \h </w:instrText>
      </w:r>
      <w:r>
        <w:rPr>
          <w:color w:val="auto"/>
        </w:rPr>
        <w:fldChar w:fldCharType="separate"/>
      </w:r>
      <w:r>
        <w:rPr>
          <w:color w:val="auto"/>
        </w:rPr>
        <w:t>125</w:t>
      </w:r>
      <w:r>
        <w:rPr>
          <w:color w:val="auto"/>
        </w:rPr>
        <w:fldChar w:fldCharType="end"/>
      </w:r>
      <w:r>
        <w:rPr>
          <w:color w:val="auto"/>
        </w:rPr>
        <w:fldChar w:fldCharType="end"/>
      </w:r>
    </w:p>
    <w:p>
      <w:pPr>
        <w:pStyle w:val="42"/>
        <w:rPr>
          <w:rFonts w:asciiTheme="minorHAnsi" w:hAnsiTheme="minorHAnsi" w:eastAsiaTheme="minorEastAsia" w:cstheme="minorBidi"/>
          <w:b w:val="0"/>
          <w:smallCaps w:val="0"/>
          <w:color w:val="auto"/>
          <w:sz w:val="21"/>
          <w:szCs w:val="22"/>
        </w:rPr>
      </w:pPr>
      <w:r>
        <w:fldChar w:fldCharType="begin"/>
      </w:r>
      <w:r>
        <w:instrText xml:space="preserve"> HYPERLINK \l "_Toc492850152" </w:instrText>
      </w:r>
      <w:r>
        <w:fldChar w:fldCharType="separate"/>
      </w:r>
      <w:r>
        <w:rPr>
          <w:rStyle w:val="52"/>
          <w:rFonts w:hint="eastAsia" w:ascii="Arial" w:hAnsi="Arial"/>
          <w:color w:val="auto"/>
        </w:rPr>
        <w:t>附表</w:t>
      </w:r>
      <w:r>
        <w:rPr>
          <w:rStyle w:val="52"/>
          <w:rFonts w:ascii="Arial" w:hAnsi="Arial"/>
          <w:color w:val="auto"/>
        </w:rPr>
        <w:t>13</w:t>
      </w:r>
      <w:r>
        <w:rPr>
          <w:rStyle w:val="52"/>
          <w:rFonts w:hint="eastAsia" w:ascii="Arial" w:hAnsi="Arial"/>
          <w:color w:val="auto"/>
        </w:rPr>
        <w:t>：中心城区主要城市公园规划一览表</w:t>
      </w:r>
      <w:r>
        <w:rPr>
          <w:color w:val="auto"/>
        </w:rPr>
        <w:tab/>
      </w:r>
      <w:r>
        <w:rPr>
          <w:color w:val="auto"/>
        </w:rPr>
        <w:fldChar w:fldCharType="begin"/>
      </w:r>
      <w:r>
        <w:rPr>
          <w:color w:val="auto"/>
        </w:rPr>
        <w:instrText xml:space="preserve"> PAGEREF _Toc492850152 \h </w:instrText>
      </w:r>
      <w:r>
        <w:rPr>
          <w:color w:val="auto"/>
        </w:rPr>
        <w:fldChar w:fldCharType="separate"/>
      </w:r>
      <w:r>
        <w:rPr>
          <w:color w:val="auto"/>
        </w:rPr>
        <w:t>128</w:t>
      </w:r>
      <w:r>
        <w:rPr>
          <w:color w:val="auto"/>
        </w:rPr>
        <w:fldChar w:fldCharType="end"/>
      </w:r>
      <w:r>
        <w:rPr>
          <w:color w:val="auto"/>
        </w:rPr>
        <w:fldChar w:fldCharType="end"/>
      </w:r>
    </w:p>
    <w:p>
      <w:pPr>
        <w:spacing w:before="156"/>
      </w:pPr>
      <w:r>
        <w:fldChar w:fldCharType="end"/>
      </w:r>
    </w:p>
    <w:p>
      <w:pPr>
        <w:pStyle w:val="65"/>
        <w:spacing w:before="156"/>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pgNumType w:fmt="upperRoman" w:start="1"/>
          <w:cols w:space="425" w:num="1"/>
          <w:docGrid w:type="lines" w:linePitch="312" w:charSpace="0"/>
        </w:sectPr>
      </w:pPr>
    </w:p>
    <w:p>
      <w:pPr>
        <w:pStyle w:val="2"/>
        <w:spacing w:before="156"/>
        <w:ind w:left="1134" w:hanging="600"/>
        <w:rPr>
          <w:rStyle w:val="52"/>
          <w:color w:val="auto"/>
          <w:u w:val="none"/>
        </w:rPr>
      </w:pPr>
      <w:bookmarkStart w:id="3" w:name="_Toc277460829"/>
      <w:bookmarkStart w:id="4" w:name="_Toc275418433"/>
      <w:bookmarkStart w:id="5" w:name="_Toc277460515"/>
      <w:bookmarkStart w:id="6" w:name="_Toc277460672"/>
      <w:bookmarkStart w:id="7" w:name="_Toc277459684"/>
      <w:bookmarkStart w:id="8" w:name="_Toc275417926"/>
      <w:bookmarkStart w:id="9" w:name="_Toc492850085"/>
      <w:bookmarkStart w:id="10" w:name="_Toc277460131"/>
      <w:bookmarkStart w:id="11" w:name="_Toc156707150"/>
      <w:r>
        <w:rPr>
          <w:rStyle w:val="52"/>
          <w:rFonts w:hint="eastAsia"/>
          <w:color w:val="auto"/>
          <w:u w:val="none"/>
        </w:rPr>
        <w:t>总则</w:t>
      </w:r>
      <w:bookmarkEnd w:id="3"/>
      <w:bookmarkEnd w:id="4"/>
      <w:bookmarkEnd w:id="5"/>
      <w:bookmarkEnd w:id="6"/>
      <w:bookmarkEnd w:id="7"/>
      <w:bookmarkEnd w:id="8"/>
      <w:bookmarkEnd w:id="9"/>
      <w:bookmarkEnd w:id="10"/>
    </w:p>
    <w:bookmarkEnd w:id="0"/>
    <w:bookmarkEnd w:id="1"/>
    <w:bookmarkEnd w:id="2"/>
    <w:bookmarkEnd w:id="11"/>
    <w:p>
      <w:pPr>
        <w:pStyle w:val="4"/>
        <w:tabs>
          <w:tab w:val="left" w:pos="993"/>
          <w:tab w:val="clear" w:pos="1260"/>
        </w:tabs>
        <w:spacing w:before="312"/>
        <w:ind w:left="851" w:hanging="834"/>
      </w:pPr>
      <w:bookmarkStart w:id="12" w:name="_Toc277460517"/>
      <w:bookmarkStart w:id="13" w:name="_Toc277460831"/>
      <w:bookmarkStart w:id="14" w:name="_Toc277460674"/>
      <w:bookmarkStart w:id="15" w:name="_Toc275418435"/>
      <w:bookmarkStart w:id="16" w:name="_Toc111967896"/>
      <w:r>
        <w:rPr>
          <w:rFonts w:hint="eastAsia"/>
        </w:rPr>
        <w:t>规划目的</w:t>
      </w:r>
      <w:bookmarkEnd w:id="12"/>
      <w:bookmarkEnd w:id="13"/>
      <w:bookmarkEnd w:id="14"/>
      <w:bookmarkEnd w:id="15"/>
      <w:bookmarkEnd w:id="16"/>
    </w:p>
    <w:p>
      <w:pPr>
        <w:spacing w:before="156"/>
      </w:pPr>
      <w:r>
        <w:rPr>
          <w:rFonts w:hint="eastAsia"/>
        </w:rPr>
        <w:t>为贯彻中共中央十九大的发展理念，实施国家促进山西资源型经济转型发展和山西省推进转型发展、城镇化发展的战略，落实山西省人民政府《关于落实建设山西综改示范区实施方案的若干意见》的要求，加强城乡规划管理，协调城乡空间布局，改善人居环境，促进晋中城乡经济社会的发展转型，根据《中华人民共和国城乡规划法》、《城市规划编制办法》和省市国民经济社会发展规划，编制本规划。</w:t>
      </w:r>
    </w:p>
    <w:p>
      <w:pPr>
        <w:pStyle w:val="4"/>
        <w:tabs>
          <w:tab w:val="left" w:pos="993"/>
          <w:tab w:val="clear" w:pos="1260"/>
        </w:tabs>
        <w:spacing w:before="312"/>
        <w:ind w:left="851" w:hanging="834"/>
      </w:pPr>
      <w:bookmarkStart w:id="17" w:name="_Toc277460832"/>
      <w:bookmarkStart w:id="18" w:name="_Toc275418436"/>
      <w:bookmarkStart w:id="19" w:name="_Toc277460518"/>
      <w:bookmarkStart w:id="20" w:name="_Toc277460675"/>
      <w:r>
        <w:rPr>
          <w:rFonts w:hint="eastAsia"/>
        </w:rPr>
        <w:t>规划依据</w:t>
      </w:r>
      <w:bookmarkEnd w:id="17"/>
      <w:bookmarkEnd w:id="18"/>
      <w:bookmarkEnd w:id="19"/>
      <w:bookmarkEnd w:id="20"/>
    </w:p>
    <w:p>
      <w:pPr>
        <w:spacing w:before="156"/>
      </w:pPr>
      <w:r>
        <w:rPr>
          <w:rFonts w:hint="eastAsia"/>
        </w:rPr>
        <w:t>（</w:t>
      </w:r>
      <w:r>
        <w:t>1</w:t>
      </w:r>
      <w:r>
        <w:rPr>
          <w:rFonts w:hint="eastAsia"/>
        </w:rPr>
        <w:t>）《中华人民共和国城乡规划法》</w:t>
      </w:r>
    </w:p>
    <w:p>
      <w:pPr>
        <w:spacing w:before="156"/>
      </w:pPr>
      <w:r>
        <w:rPr>
          <w:rFonts w:hint="eastAsia"/>
        </w:rPr>
        <w:t>（</w:t>
      </w:r>
      <w:r>
        <w:t>2</w:t>
      </w:r>
      <w:r>
        <w:rPr>
          <w:rFonts w:hint="eastAsia"/>
        </w:rPr>
        <w:t>）《山西省城乡规划条例》</w:t>
      </w:r>
    </w:p>
    <w:p>
      <w:pPr>
        <w:spacing w:before="156"/>
      </w:pPr>
      <w:r>
        <w:rPr>
          <w:rFonts w:hint="eastAsia"/>
        </w:rPr>
        <w:t>（</w:t>
      </w:r>
      <w:r>
        <w:t>3</w:t>
      </w:r>
      <w:r>
        <w:rPr>
          <w:rFonts w:hint="eastAsia"/>
        </w:rPr>
        <w:t xml:space="preserve">）《国务院关于山西省国家资源型经济转型综合配套改革试验总体方案的批复》（国函〔2012〕98 号） </w:t>
      </w:r>
    </w:p>
    <w:p>
      <w:pPr>
        <w:spacing w:before="156"/>
      </w:pPr>
      <w:r>
        <w:rPr>
          <w:rFonts w:hint="eastAsia"/>
        </w:rPr>
        <w:t>（</w:t>
      </w:r>
      <w:r>
        <w:t>4</w:t>
      </w:r>
      <w:r>
        <w:rPr>
          <w:rFonts w:hint="eastAsia"/>
        </w:rPr>
        <w:t xml:space="preserve">）《山西省人民政府关于加快推进城镇化的意见》(晋政发〔2016〕11 号) </w:t>
      </w:r>
    </w:p>
    <w:p>
      <w:pPr>
        <w:spacing w:before="156"/>
      </w:pPr>
      <w:r>
        <w:rPr>
          <w:rFonts w:hint="eastAsia"/>
        </w:rPr>
        <w:t xml:space="preserve">（5）《中共山西省委、山西省人民政府关于开发区改革创新发展的若干意见》（晋发〔2016〕50 号） </w:t>
      </w:r>
    </w:p>
    <w:p>
      <w:pPr>
        <w:spacing w:before="156"/>
      </w:pPr>
      <w:r>
        <w:rPr>
          <w:rFonts w:hint="eastAsia"/>
        </w:rPr>
        <w:t xml:space="preserve">（6）《中共山西省委、山西省人民政府关于建设山西转型综改示范区的实施方案》（晋发〔2016〕51 号） </w:t>
      </w:r>
    </w:p>
    <w:p>
      <w:pPr>
        <w:spacing w:before="156"/>
      </w:pPr>
      <w:r>
        <w:rPr>
          <w:rFonts w:hint="eastAsia"/>
        </w:rPr>
        <w:t xml:space="preserve">（7）山西省人民政府办公厅关于加快推进山西农谷建设的指导意见（晋政办发〔2017〕57 号） </w:t>
      </w:r>
    </w:p>
    <w:p>
      <w:pPr>
        <w:spacing w:before="156"/>
      </w:pPr>
      <w:r>
        <w:rPr>
          <w:rFonts w:hint="eastAsia"/>
        </w:rPr>
        <w:t>（8）山西省人民政府办公厅关于晋中市城市总体规划修改有关问题的复函（晋政办函[2011]1号）</w:t>
      </w:r>
    </w:p>
    <w:p>
      <w:pPr>
        <w:spacing w:before="156"/>
      </w:pPr>
      <w:r>
        <w:rPr>
          <w:rFonts w:hint="eastAsia"/>
        </w:rPr>
        <w:t>（9）其他国家、省、市相关法律、法规和规范</w:t>
      </w:r>
    </w:p>
    <w:p>
      <w:pPr>
        <w:pStyle w:val="4"/>
        <w:tabs>
          <w:tab w:val="left" w:pos="993"/>
          <w:tab w:val="clear" w:pos="1260"/>
        </w:tabs>
        <w:spacing w:before="312"/>
        <w:ind w:left="851" w:hanging="834"/>
      </w:pPr>
      <w:r>
        <w:rPr>
          <w:rFonts w:hint="eastAsia"/>
        </w:rPr>
        <w:t>规划</w:t>
      </w:r>
      <w:r>
        <w:t>参考文件</w:t>
      </w:r>
    </w:p>
    <w:p>
      <w:pPr>
        <w:spacing w:before="156"/>
      </w:pPr>
      <w:r>
        <w:rPr>
          <w:rFonts w:hint="eastAsia"/>
        </w:rPr>
        <w:t>（1）中国共产党十九大报告</w:t>
      </w:r>
    </w:p>
    <w:p>
      <w:pPr>
        <w:spacing w:before="156"/>
      </w:pPr>
      <w:r>
        <w:rPr>
          <w:rFonts w:hint="eastAsia"/>
        </w:rPr>
        <w:t>（</w:t>
      </w:r>
      <w:r>
        <w:t>2</w:t>
      </w:r>
      <w:r>
        <w:rPr>
          <w:rFonts w:hint="eastAsia"/>
        </w:rPr>
        <w:t xml:space="preserve">）《国家新型城镇化规划（2014－2020 年）》 </w:t>
      </w:r>
    </w:p>
    <w:p>
      <w:pPr>
        <w:spacing w:before="156"/>
      </w:pPr>
      <w:r>
        <w:rPr>
          <w:rFonts w:hint="eastAsia"/>
        </w:rPr>
        <w:t>（</w:t>
      </w:r>
      <w:r>
        <w:t>3</w:t>
      </w:r>
      <w:r>
        <w:rPr>
          <w:rFonts w:hint="eastAsia"/>
        </w:rPr>
        <w:t>）山西省主体功能区规划（2014年）</w:t>
      </w:r>
    </w:p>
    <w:p>
      <w:pPr>
        <w:spacing w:before="156"/>
      </w:pPr>
      <w:r>
        <w:rPr>
          <w:rFonts w:hint="eastAsia"/>
        </w:rPr>
        <w:t>（</w:t>
      </w:r>
      <w:r>
        <w:t>4</w:t>
      </w:r>
      <w:r>
        <w:rPr>
          <w:rFonts w:hint="eastAsia"/>
        </w:rPr>
        <w:t>）《促进中部地区崛起“十三五”规划》（2016 年）</w:t>
      </w:r>
    </w:p>
    <w:p>
      <w:pPr>
        <w:spacing w:before="156"/>
      </w:pPr>
      <w:r>
        <w:rPr>
          <w:rFonts w:hint="eastAsia"/>
        </w:rPr>
        <w:t>（</w:t>
      </w:r>
      <w:r>
        <w:t>5</w:t>
      </w:r>
      <w:r>
        <w:rPr>
          <w:rFonts w:hint="eastAsia"/>
        </w:rPr>
        <w:t xml:space="preserve">）《山西省国民经济和社会发展第十三个五年规划》 </w:t>
      </w:r>
    </w:p>
    <w:p>
      <w:pPr>
        <w:spacing w:before="156"/>
      </w:pPr>
      <w:r>
        <w:rPr>
          <w:rFonts w:hint="eastAsia"/>
        </w:rPr>
        <w:t>（</w:t>
      </w:r>
      <w:r>
        <w:t>6</w:t>
      </w:r>
      <w:r>
        <w:rPr>
          <w:rFonts w:hint="eastAsia"/>
        </w:rPr>
        <w:t>）太原都市圈规划（2011-2030）</w:t>
      </w:r>
    </w:p>
    <w:p>
      <w:pPr>
        <w:spacing w:before="156"/>
      </w:pPr>
      <w:r>
        <w:rPr>
          <w:rFonts w:hint="eastAsia"/>
        </w:rPr>
        <w:t>（7）太原都市区规划（2016-2035）</w:t>
      </w:r>
    </w:p>
    <w:p>
      <w:pPr>
        <w:spacing w:before="156"/>
      </w:pPr>
      <w:r>
        <w:rPr>
          <w:rFonts w:hint="eastAsia"/>
        </w:rPr>
        <w:t>（8）山西转型综改示范区总体发展战略规划</w:t>
      </w:r>
    </w:p>
    <w:p>
      <w:pPr>
        <w:spacing w:before="156"/>
      </w:pPr>
      <w:r>
        <w:rPr>
          <w:rFonts w:hint="eastAsia"/>
        </w:rPr>
        <w:t>（9）山西转型综合改革示范区潇河产业园区晋中起步区总体规划（2016-2030年）</w:t>
      </w:r>
    </w:p>
    <w:p>
      <w:pPr>
        <w:spacing w:before="156"/>
      </w:pPr>
      <w:r>
        <w:rPr>
          <w:rFonts w:hint="eastAsia"/>
        </w:rPr>
        <w:t>（10）太原都市圈城镇密集区规划（2011-2030）</w:t>
      </w:r>
    </w:p>
    <w:p>
      <w:pPr>
        <w:spacing w:before="156"/>
      </w:pPr>
      <w:r>
        <w:rPr>
          <w:rFonts w:hint="eastAsia"/>
        </w:rPr>
        <w:t>（11）太原市城市总体规划</w:t>
      </w:r>
    </w:p>
    <w:p>
      <w:pPr>
        <w:spacing w:before="156"/>
      </w:pPr>
      <w:r>
        <w:rPr>
          <w:rFonts w:hint="eastAsia"/>
        </w:rPr>
        <w:t>（12）晋中市土地利用总体规划</w:t>
      </w:r>
    </w:p>
    <w:p>
      <w:pPr>
        <w:pStyle w:val="4"/>
        <w:tabs>
          <w:tab w:val="left" w:pos="993"/>
          <w:tab w:val="clear" w:pos="1260"/>
        </w:tabs>
        <w:spacing w:before="312"/>
        <w:ind w:left="851" w:hanging="834"/>
      </w:pPr>
      <w:bookmarkStart w:id="21" w:name="_Toc277460676"/>
      <w:bookmarkStart w:id="22" w:name="_Toc275418437"/>
      <w:bookmarkStart w:id="23" w:name="_Toc277460833"/>
      <w:bookmarkStart w:id="24" w:name="_Toc277460519"/>
      <w:bookmarkStart w:id="25" w:name="_Toc111967897"/>
      <w:bookmarkStart w:id="26" w:name="_Toc111967898"/>
      <w:r>
        <w:rPr>
          <w:rFonts w:hint="eastAsia"/>
        </w:rPr>
        <w:t>规划层次</w:t>
      </w:r>
      <w:bookmarkEnd w:id="21"/>
      <w:bookmarkEnd w:id="22"/>
      <w:bookmarkEnd w:id="23"/>
      <w:bookmarkEnd w:id="24"/>
    </w:p>
    <w:bookmarkEnd w:id="25"/>
    <w:p>
      <w:pPr>
        <w:spacing w:before="156"/>
      </w:pPr>
      <w:r>
        <w:rPr>
          <w:rFonts w:hint="eastAsia"/>
        </w:rPr>
        <w:t>本规划分为市域城镇体系、太原榆次太谷区域协调、规划区城乡统筹和中心城区四个层次。</w:t>
      </w:r>
    </w:p>
    <w:p>
      <w:pPr>
        <w:spacing w:before="156"/>
      </w:pPr>
      <w:r>
        <w:rPr>
          <w:rFonts w:hint="eastAsia"/>
        </w:rPr>
        <w:t>市域城镇体系规划范围即晋中市行政区范围，</w:t>
      </w:r>
      <w:r>
        <w:t>总面积</w:t>
      </w:r>
      <w:r>
        <w:rPr>
          <w:rFonts w:hint="eastAsia"/>
        </w:rPr>
        <w:t>1.6万</w:t>
      </w:r>
      <w:r>
        <w:t>平方公里</w:t>
      </w:r>
      <w:r>
        <w:rPr>
          <w:rFonts w:hint="eastAsia"/>
        </w:rPr>
        <w:t>，在此范围内编制的城镇体系规划是指导全市城镇发展和城乡统筹的依据。</w:t>
      </w:r>
    </w:p>
    <w:p>
      <w:pPr>
        <w:spacing w:before="156"/>
      </w:pPr>
      <w:r>
        <w:rPr>
          <w:rFonts w:hint="eastAsia"/>
        </w:rPr>
        <w:t>太原榆次太谷区域协调重点是在太原都市区发展背景下统筹协调晋中中心城区与太原、山西综改示范区、太谷三地的城镇功能、空间布局以及重大交通和市政基础设施建设对接。</w:t>
      </w:r>
    </w:p>
    <w:p>
      <w:pPr>
        <w:spacing w:before="156"/>
        <w:rPr>
          <w:b/>
          <w:u w:val="single"/>
        </w:rPr>
      </w:pPr>
      <w:r>
        <w:rPr>
          <w:rFonts w:hint="eastAsia"/>
          <w:b/>
          <w:u w:val="single"/>
        </w:rPr>
        <w:t>规划区城乡统筹规划范围为榆次区行政辖区，总面积约1311平方公里，在此范围内重点统筹城乡发展。</w:t>
      </w:r>
    </w:p>
    <w:p>
      <w:pPr>
        <w:spacing w:before="156"/>
      </w:pPr>
      <w:r>
        <w:rPr>
          <w:rFonts w:hint="eastAsia"/>
        </w:rPr>
        <w:t>中心城区范围包括集中连片</w:t>
      </w:r>
      <w:r>
        <w:t>建设的主城区</w:t>
      </w:r>
      <w:r>
        <w:rPr>
          <w:rFonts w:hint="eastAsia"/>
        </w:rPr>
        <w:t>（含</w:t>
      </w:r>
      <w:r>
        <w:t>与主城区连片发展的山西科技创新城核心区，面积</w:t>
      </w:r>
      <w:r>
        <w:rPr>
          <w:rFonts w:hint="eastAsia"/>
        </w:rPr>
        <w:t>5平方公里</w:t>
      </w:r>
      <w:r>
        <w:t>）</w:t>
      </w:r>
      <w:r>
        <w:rPr>
          <w:rFonts w:hint="eastAsia"/>
        </w:rPr>
        <w:t>及山西转型综改示范区潇河产业园区晋中起步区（独立于主城区外），总面积</w:t>
      </w:r>
      <w:r>
        <w:rPr>
          <w:rFonts w:hint="eastAsia"/>
          <w:lang w:val="en-US" w:eastAsia="zh-CN"/>
        </w:rPr>
        <w:t>450</w:t>
      </w:r>
      <w:r>
        <w:rPr>
          <w:rFonts w:hint="eastAsia"/>
        </w:rPr>
        <w:t>平方公里。规划确定中心城区西边界至晋中市域边界，南至榆次区边界，东至祁榆高速公路，北至太原中环路的晋中东延线；在此范围编制城市总体规划。</w:t>
      </w:r>
    </w:p>
    <w:p>
      <w:pPr>
        <w:pStyle w:val="4"/>
        <w:tabs>
          <w:tab w:val="left" w:pos="993"/>
          <w:tab w:val="clear" w:pos="1260"/>
        </w:tabs>
        <w:spacing w:before="312"/>
        <w:ind w:left="851" w:hanging="834"/>
      </w:pPr>
      <w:bookmarkStart w:id="27" w:name="_Toc277460836"/>
      <w:bookmarkStart w:id="28" w:name="_Toc277460522"/>
      <w:bookmarkStart w:id="29" w:name="_Toc277460679"/>
      <w:bookmarkStart w:id="30" w:name="_Toc275418441"/>
      <w:r>
        <w:rPr>
          <w:rFonts w:hint="eastAsia"/>
        </w:rPr>
        <w:t>规划期限</w:t>
      </w:r>
      <w:bookmarkEnd w:id="27"/>
      <w:bookmarkEnd w:id="28"/>
      <w:bookmarkEnd w:id="29"/>
      <w:bookmarkEnd w:id="30"/>
    </w:p>
    <w:p>
      <w:pPr>
        <w:spacing w:before="156"/>
      </w:pPr>
      <w:r>
        <w:rPr>
          <w:rFonts w:hint="eastAsia"/>
        </w:rPr>
        <w:t>本规划期限为201</w:t>
      </w:r>
      <w:r>
        <w:t>6</w:t>
      </w:r>
      <w:r>
        <w:rPr>
          <w:rFonts w:hint="eastAsia"/>
        </w:rPr>
        <w:t>-2030年，其中近期为201</w:t>
      </w:r>
      <w:r>
        <w:t>6</w:t>
      </w:r>
      <w:r>
        <w:rPr>
          <w:rFonts w:hint="eastAsia"/>
        </w:rPr>
        <w:t>-2020年，远期为2021-2030年。</w:t>
      </w:r>
      <w:bookmarkEnd w:id="26"/>
      <w:bookmarkStart w:id="31" w:name="_Toc156707151"/>
      <w:r>
        <w:rPr>
          <w:rStyle w:val="54"/>
        </w:rPr>
        <w:footnoteReference w:id="0"/>
      </w:r>
    </w:p>
    <w:p>
      <w:pPr>
        <w:pStyle w:val="4"/>
        <w:tabs>
          <w:tab w:val="left" w:pos="993"/>
          <w:tab w:val="clear" w:pos="1260"/>
        </w:tabs>
        <w:spacing w:before="312"/>
        <w:ind w:left="851" w:hanging="834"/>
      </w:pPr>
      <w:r>
        <w:rPr>
          <w:rFonts w:hint="eastAsia"/>
        </w:rPr>
        <w:t>强制性内容</w:t>
      </w:r>
    </w:p>
    <w:p>
      <w:pPr>
        <w:spacing w:before="156"/>
      </w:pPr>
      <w:r>
        <w:rPr>
          <w:rFonts w:hint="eastAsia"/>
        </w:rPr>
        <w:t>文本</w:t>
      </w:r>
      <w:r>
        <w:t>标有下划线的粗体字内容为规划强制性内容，不得随意修改。如需</w:t>
      </w:r>
      <w:r>
        <w:rPr>
          <w:rFonts w:hint="eastAsia"/>
        </w:rPr>
        <w:t>修改</w:t>
      </w:r>
      <w:r>
        <w:t>必须依法按</w:t>
      </w:r>
      <w:r>
        <w:rPr>
          <w:rFonts w:hint="eastAsia"/>
        </w:rPr>
        <w:t>程序上报审批</w:t>
      </w:r>
      <w:r>
        <w:t>。</w:t>
      </w:r>
    </w:p>
    <w:p>
      <w:pPr>
        <w:spacing w:before="156"/>
      </w:pPr>
    </w:p>
    <w:p>
      <w:pPr>
        <w:pStyle w:val="2"/>
        <w:spacing w:before="156"/>
        <w:ind w:left="1200" w:leftChars="250" w:hanging="600"/>
        <w:rPr>
          <w:rStyle w:val="52"/>
          <w:color w:val="auto"/>
          <w:u w:val="none"/>
        </w:rPr>
      </w:pPr>
      <w:bookmarkStart w:id="32" w:name="_Toc277460838"/>
      <w:bookmarkStart w:id="33" w:name="_Toc277460681"/>
      <w:bookmarkStart w:id="34" w:name="_Toc277459687"/>
      <w:bookmarkStart w:id="35" w:name="_Toc275418443"/>
      <w:bookmarkStart w:id="36" w:name="_Toc277460524"/>
      <w:bookmarkStart w:id="37" w:name="_Toc277460134"/>
      <w:bookmarkStart w:id="38" w:name="_Toc275417929"/>
      <w:r>
        <w:rPr>
          <w:rStyle w:val="52"/>
          <w:color w:val="auto"/>
          <w:szCs w:val="36"/>
          <w:u w:val="none"/>
        </w:rPr>
        <w:br w:type="page"/>
      </w:r>
      <w:bookmarkStart w:id="39" w:name="_Toc492850086"/>
      <w:r>
        <w:rPr>
          <w:rStyle w:val="52"/>
          <w:rFonts w:hint="eastAsia"/>
          <w:color w:val="auto"/>
          <w:u w:val="none"/>
        </w:rPr>
        <w:t>城市发展目标与策略</w:t>
      </w:r>
      <w:bookmarkEnd w:id="31"/>
      <w:bookmarkEnd w:id="32"/>
      <w:bookmarkEnd w:id="33"/>
      <w:bookmarkEnd w:id="34"/>
      <w:bookmarkEnd w:id="35"/>
      <w:bookmarkEnd w:id="36"/>
      <w:bookmarkEnd w:id="37"/>
      <w:bookmarkEnd w:id="38"/>
      <w:bookmarkEnd w:id="39"/>
    </w:p>
    <w:p>
      <w:pPr>
        <w:pStyle w:val="3"/>
        <w:spacing w:before="156" w:after="156"/>
      </w:pPr>
      <w:bookmarkStart w:id="40" w:name="_Toc492850087"/>
      <w:r>
        <w:rPr>
          <w:rFonts w:hint="eastAsia"/>
        </w:rPr>
        <w:t>第一节发展目标</w:t>
      </w:r>
      <w:bookmarkEnd w:id="40"/>
    </w:p>
    <w:p>
      <w:pPr>
        <w:pStyle w:val="4"/>
        <w:tabs>
          <w:tab w:val="left" w:pos="993"/>
          <w:tab w:val="clear" w:pos="1260"/>
        </w:tabs>
        <w:spacing w:before="312"/>
        <w:ind w:left="851" w:hanging="834"/>
      </w:pPr>
      <w:bookmarkStart w:id="41" w:name="_Toc277460682"/>
      <w:bookmarkStart w:id="42" w:name="_Toc277460525"/>
      <w:bookmarkStart w:id="43" w:name="_Toc277460839"/>
      <w:bookmarkStart w:id="44" w:name="_Toc275418444"/>
      <w:r>
        <w:rPr>
          <w:rFonts w:hint="eastAsia"/>
        </w:rPr>
        <w:t>总体发展目标</w:t>
      </w:r>
      <w:bookmarkEnd w:id="41"/>
      <w:bookmarkEnd w:id="42"/>
      <w:bookmarkEnd w:id="43"/>
      <w:bookmarkEnd w:id="44"/>
    </w:p>
    <w:p>
      <w:pPr>
        <w:spacing w:before="156"/>
      </w:pPr>
      <w:r>
        <w:rPr>
          <w:rFonts w:hint="eastAsia"/>
        </w:rPr>
        <w:t>将晋中建设成为山西省转型崛起先导区、晋商文化复兴地、健康城镇示范区。</w:t>
      </w:r>
    </w:p>
    <w:p>
      <w:pPr>
        <w:pStyle w:val="4"/>
        <w:tabs>
          <w:tab w:val="left" w:pos="993"/>
          <w:tab w:val="clear" w:pos="1260"/>
        </w:tabs>
        <w:spacing w:before="312"/>
        <w:ind w:left="851" w:hanging="834"/>
      </w:pPr>
      <w:r>
        <w:rPr>
          <w:rFonts w:hint="eastAsia"/>
        </w:rPr>
        <w:t>经济发展目标</w:t>
      </w:r>
    </w:p>
    <w:p>
      <w:pPr>
        <w:spacing w:before="156"/>
      </w:pPr>
      <w:r>
        <w:rPr>
          <w:rFonts w:hint="eastAsia"/>
        </w:rPr>
        <w:t>全力推动晋中的产业结构优化与转型，建设现代化的经济体系，实现经济发展质量变革、效益变革，提高经济创新力和竞争力。到2020年，全市地区生产总值突破2000亿元，人均生产总值超过5万元。到2030年，全市地区生产总值突破4000亿元，服务业增加值占GDP比重达到50%以上，经济结构得到显著优化，实体经济竞争力显著提高。城市发展指标体系见附表1。</w:t>
      </w:r>
    </w:p>
    <w:p>
      <w:pPr>
        <w:pStyle w:val="4"/>
        <w:tabs>
          <w:tab w:val="left" w:pos="993"/>
          <w:tab w:val="clear" w:pos="1260"/>
        </w:tabs>
        <w:spacing w:before="312"/>
        <w:ind w:left="851" w:hanging="834"/>
      </w:pPr>
      <w:r>
        <w:rPr>
          <w:rFonts w:hint="eastAsia"/>
        </w:rPr>
        <w:t>社会发展目标</w:t>
      </w:r>
    </w:p>
    <w:p>
      <w:pPr>
        <w:spacing w:before="156"/>
      </w:pPr>
      <w:r>
        <w:rPr>
          <w:rFonts w:hint="eastAsia"/>
        </w:rPr>
        <w:t>逐步实现</w:t>
      </w:r>
      <w:r>
        <w:t>城乡统筹发展，缩小城乡差距</w:t>
      </w:r>
      <w:r>
        <w:rPr>
          <w:rFonts w:hint="eastAsia"/>
        </w:rPr>
        <w:t>、建设美丽乡村</w:t>
      </w:r>
      <w:r>
        <w:t>，</w:t>
      </w:r>
      <w:r>
        <w:rPr>
          <w:rFonts w:hint="eastAsia"/>
        </w:rPr>
        <w:t>到</w:t>
      </w:r>
      <w:r>
        <w:t>2030</w:t>
      </w:r>
      <w:r>
        <w:rPr>
          <w:rFonts w:hint="eastAsia"/>
        </w:rPr>
        <w:t>年，城乡居民生活富裕，城镇居民人均可支配收入达到75000元，农村居民人均纯收入达到30000元。</w:t>
      </w:r>
    </w:p>
    <w:p>
      <w:pPr>
        <w:spacing w:before="156"/>
      </w:pPr>
      <w:r>
        <w:rPr>
          <w:rFonts w:hint="eastAsia"/>
        </w:rPr>
        <w:t>增进民生福祉，完善幼有所育、学有所教、病有所医、老有所养、住有所居的公共服务体系，</w:t>
      </w:r>
      <w:r>
        <w:t>到</w:t>
      </w:r>
      <w:r>
        <w:rPr>
          <w:rFonts w:hint="eastAsia"/>
        </w:rPr>
        <w:t>20</w:t>
      </w:r>
      <w:r>
        <w:t>30</w:t>
      </w:r>
      <w:r>
        <w:rPr>
          <w:rFonts w:hint="eastAsia"/>
        </w:rPr>
        <w:t>年</w:t>
      </w:r>
      <w:r>
        <w:t>，</w:t>
      </w:r>
      <w:r>
        <w:rPr>
          <w:rFonts w:hint="eastAsia"/>
        </w:rPr>
        <w:t>义务</w:t>
      </w:r>
      <w:r>
        <w:t>教育完成率达到</w:t>
      </w:r>
      <w:r>
        <w:rPr>
          <w:rFonts w:hint="eastAsia"/>
        </w:rPr>
        <w:t>100</w:t>
      </w:r>
      <w:r>
        <w:t>%，高</w:t>
      </w:r>
      <w:r>
        <w:rPr>
          <w:rFonts w:hint="eastAsia"/>
        </w:rPr>
        <w:t>中阶段教育</w:t>
      </w:r>
      <w:r>
        <w:t>毛入学率达到</w:t>
      </w:r>
      <w:r>
        <w:rPr>
          <w:rFonts w:hint="eastAsia"/>
        </w:rPr>
        <w:t>99</w:t>
      </w:r>
      <w:r>
        <w:t>%，</w:t>
      </w:r>
      <w:r>
        <w:rPr>
          <w:rFonts w:hint="eastAsia"/>
        </w:rPr>
        <w:t>每千人</w:t>
      </w:r>
      <w:r>
        <w:t>医疗床位数</w:t>
      </w:r>
      <w:r>
        <w:rPr>
          <w:rFonts w:hint="eastAsia"/>
        </w:rPr>
        <w:t>5个</w:t>
      </w:r>
      <w:r>
        <w:t>以上</w:t>
      </w:r>
      <w:r>
        <w:rPr>
          <w:rFonts w:hint="eastAsia"/>
        </w:rPr>
        <w:t>。</w:t>
      </w:r>
    </w:p>
    <w:p>
      <w:pPr>
        <w:pStyle w:val="4"/>
        <w:tabs>
          <w:tab w:val="left" w:pos="993"/>
          <w:tab w:val="clear" w:pos="1260"/>
        </w:tabs>
        <w:spacing w:before="312"/>
        <w:ind w:left="851" w:hanging="834"/>
      </w:pPr>
      <w:r>
        <w:rPr>
          <w:rFonts w:hint="eastAsia"/>
        </w:rPr>
        <w:t>资源利用与保护目标</w:t>
      </w:r>
    </w:p>
    <w:p>
      <w:pPr>
        <w:spacing w:before="156"/>
      </w:pPr>
      <w:r>
        <w:rPr>
          <w:rFonts w:hint="eastAsia"/>
        </w:rPr>
        <w:t>优化资源利用结构，提高资源利用效率，促进经济发展与资源环境相协调，全面推进资源节约和循环利用，建设绿色低碳和循环发展的资源节约型社会。</w:t>
      </w:r>
    </w:p>
    <w:p>
      <w:pPr>
        <w:spacing w:before="156"/>
      </w:pPr>
      <w:r>
        <w:rPr>
          <w:rFonts w:hint="eastAsia"/>
        </w:rPr>
        <w:t>集约利用土地，制定严格的耕地保护政策，控制建设用地规模，提高土地使用效率和效益。</w:t>
      </w:r>
    </w:p>
    <w:p>
      <w:pPr>
        <w:spacing w:before="156"/>
      </w:pPr>
      <w:r>
        <w:rPr>
          <w:rFonts w:hint="eastAsia"/>
        </w:rPr>
        <w:t>节约利用和保护水资源，实施污染物总量控制制度；完善水资源保护行政法规体系，加强饮用水水源地保护和水质监控；推广节水型农业，降低农业用水水平；调整产业结构，单位GDP耗水量降低至24立方米/万元以下；提高工业用水重复利用率，中心城区中水回用率达到60%；加强区域水资源统筹利用，提高晋中市区域可供水量。</w:t>
      </w:r>
    </w:p>
    <w:p>
      <w:pPr>
        <w:spacing w:before="156"/>
      </w:pPr>
      <w:r>
        <w:rPr>
          <w:rFonts w:hint="eastAsia"/>
        </w:rPr>
        <w:t>保障资源整合力度，稳定本地煤炭产能，煤炭单井产能力争达到100万吨/年，全市煤炭产量稳定在11000万吨/年；转变能源输送方式，提高电力外送能力，逐步由现状煤炭外送为主转变为“</w:t>
      </w:r>
      <w:r>
        <w:t>输煤输电</w:t>
      </w:r>
      <w:r>
        <w:rPr>
          <w:rFonts w:hint="eastAsia"/>
        </w:rPr>
        <w:t>”</w:t>
      </w:r>
      <w:r>
        <w:t>并举</w:t>
      </w:r>
      <w:r>
        <w:rPr>
          <w:rFonts w:hint="eastAsia"/>
        </w:rPr>
        <w:t>的方式；加快勘探力度，提高本地煤层气产能，寿阳、昔阳、和顺、左权等本地煤层气总产量达到50亿立方米/年；改善能源结构，提高新能源及可再生能源比例，建设昔阳、左权、寿阳等风力发电厂，新能源及可再生能源发电量占总用电量的15%；强化节能减排，提高能源利用效率，单位GDP能耗降低至1.2吨标煤/万元。</w:t>
      </w:r>
    </w:p>
    <w:p>
      <w:pPr>
        <w:pStyle w:val="4"/>
        <w:tabs>
          <w:tab w:val="left" w:pos="993"/>
          <w:tab w:val="clear" w:pos="1260"/>
        </w:tabs>
        <w:spacing w:before="312"/>
        <w:ind w:left="851" w:hanging="834"/>
      </w:pPr>
      <w:r>
        <w:rPr>
          <w:rFonts w:hint="eastAsia"/>
        </w:rPr>
        <w:t>生态环境保护目标</w:t>
      </w:r>
    </w:p>
    <w:p>
      <w:pPr>
        <w:spacing w:before="156"/>
      </w:pPr>
      <w:r>
        <w:rPr>
          <w:rFonts w:hint="eastAsia"/>
        </w:rPr>
        <w:t>落实生态文明建设要求，实施重要生态系统保护和修复重大工程，优化生态安全屏障体系，构建生态廊道和生物多样性保护网络。通过生态环境保护</w:t>
      </w:r>
      <w:r>
        <w:t>,遏制生态环境破坏,</w:t>
      </w:r>
      <w:r>
        <w:rPr>
          <w:rFonts w:hint="eastAsia"/>
        </w:rPr>
        <w:t>加强地质灾害防治；</w:t>
      </w:r>
      <w:r>
        <w:t>促进自然资源的合理、科学利用,实现自然生态系统良性循环</w:t>
      </w:r>
      <w:r>
        <w:rPr>
          <w:rFonts w:hint="eastAsia"/>
        </w:rPr>
        <w:t>；</w:t>
      </w:r>
      <w:r>
        <w:t>维护</w:t>
      </w:r>
      <w:r>
        <w:rPr>
          <w:rFonts w:hint="eastAsia"/>
        </w:rPr>
        <w:t>区域</w:t>
      </w:r>
      <w:r>
        <w:t>生态环境安全,确保经济社会的可持续发展。</w:t>
      </w:r>
    </w:p>
    <w:p>
      <w:pPr>
        <w:spacing w:before="156"/>
      </w:pPr>
      <w:r>
        <w:rPr>
          <w:rFonts w:hint="eastAsia"/>
        </w:rPr>
        <w:t>着力解决突出环境问题，持续实施大气污染防治行动，实行污染物总量控制，根据环境容量，合理布局工业，改变能源结构，重点企业全面达标排放，城市空气质量达到或好于国家二级标准，区域空气质量大幅改善；主要污染物排放和单位产出的能耗控制在国家下达的标准以内，规划期末晋中市中心城区生活垃圾无害化处理率达到100%，生活污水集中处理率达100%，垃圾资源化利用率达到70%以上。</w:t>
      </w:r>
    </w:p>
    <w:p>
      <w:pPr>
        <w:spacing w:before="156"/>
      </w:pPr>
      <w:r>
        <w:rPr>
          <w:rFonts w:hint="eastAsia"/>
        </w:rPr>
        <w:t>提高集中式饮用水源地保护力度，按照晋中市“饮用水水源地环境保护规划”，对水源地实行重点保护，全市集中式饮用水水源地水质达标率与水体水质好于III类断面比例均达到100%；严格工业废水排放制度，加大重点工业企业环境监控力度；所有工业企业必须实现主要污染物达标排放，对排放浓度达标的企业，通过实施总量控制等手段，确保污染物排放总量逐年削减。</w:t>
      </w:r>
    </w:p>
    <w:p>
      <w:pPr>
        <w:pStyle w:val="4"/>
        <w:tabs>
          <w:tab w:val="left" w:pos="993"/>
          <w:tab w:val="clear" w:pos="1260"/>
        </w:tabs>
        <w:spacing w:before="312"/>
        <w:ind w:left="851" w:hanging="834"/>
      </w:pPr>
      <w:r>
        <w:rPr>
          <w:rFonts w:hint="eastAsia"/>
        </w:rPr>
        <w:t>自然和历史文化遗产保护与利用目标</w:t>
      </w:r>
    </w:p>
    <w:p>
      <w:pPr>
        <w:spacing w:before="156"/>
      </w:pPr>
      <w:r>
        <w:rPr>
          <w:rFonts w:hint="eastAsia"/>
        </w:rPr>
        <w:t>积极保护晋中市域范围内的自然和历史文化遗产，包括对各级风景名胜区、现存历史文化名城名镇名村及各类历史文物古迹和建筑进行保护。严格执行国家相关法律法规的保护要求。</w:t>
      </w:r>
    </w:p>
    <w:p>
      <w:pPr>
        <w:spacing w:before="156"/>
      </w:pPr>
      <w:r>
        <w:rPr>
          <w:rFonts w:hint="eastAsia"/>
        </w:rPr>
        <w:t>推动文化发展，加强文化自信，加强文物保护利用和文化遗产保护传承；充分挖掘晋中地方文化内涵，促进历史传统文化、生态文化及现代文化的融合，打造具有晋中地方鲜明特色的文化之城。积极利用晋商历史文化和山区红色文化、生态文化的优势，突破性发展生态文化旅游产业。</w:t>
      </w:r>
    </w:p>
    <w:p>
      <w:pPr>
        <w:spacing w:before="156"/>
      </w:pPr>
    </w:p>
    <w:p>
      <w:pPr>
        <w:pStyle w:val="3"/>
        <w:spacing w:before="156" w:after="156"/>
      </w:pPr>
      <w:bookmarkStart w:id="45" w:name="_Toc492850088"/>
      <w:r>
        <w:rPr>
          <w:rFonts w:hint="eastAsia"/>
        </w:rPr>
        <w:t>第二节发展战略</w:t>
      </w:r>
      <w:bookmarkEnd w:id="45"/>
    </w:p>
    <w:p>
      <w:pPr>
        <w:pStyle w:val="4"/>
        <w:tabs>
          <w:tab w:val="left" w:pos="993"/>
          <w:tab w:val="clear" w:pos="1260"/>
        </w:tabs>
        <w:spacing w:before="312"/>
        <w:ind w:left="851" w:hanging="834"/>
      </w:pPr>
      <w:r>
        <w:rPr>
          <w:rFonts w:hint="eastAsia"/>
        </w:rPr>
        <w:t>区域战略：协调发展，壮大中心，实现率先崛起</w:t>
      </w:r>
    </w:p>
    <w:p>
      <w:pPr>
        <w:pStyle w:val="131"/>
        <w:spacing w:before="156"/>
        <w:ind w:left="960"/>
      </w:pPr>
      <w:r>
        <w:rPr>
          <w:rFonts w:hint="eastAsia"/>
        </w:rPr>
        <w:t>（1）积极融入丝绸之路经济带，强化优势产业输出与壮大</w:t>
      </w:r>
    </w:p>
    <w:p>
      <w:pPr>
        <w:spacing w:before="156"/>
      </w:pPr>
      <w:r>
        <w:rPr>
          <w:rFonts w:hint="eastAsia"/>
        </w:rPr>
        <w:t>积极与丝绸之路经济带国内沿线省市开展口岸、海关、检验检疫等方面的合作，加强与中亚地区在煤炭采掘、洗选、运输等装备方面的合作，积极输出和壮大传统优势技术与产品。</w:t>
      </w:r>
    </w:p>
    <w:p>
      <w:pPr>
        <w:pStyle w:val="131"/>
        <w:spacing w:before="156"/>
        <w:ind w:left="960"/>
        <w:rPr>
          <w:u w:val="wave"/>
        </w:rPr>
      </w:pPr>
      <w:r>
        <w:rPr>
          <w:rFonts w:hint="eastAsia"/>
        </w:rPr>
        <w:t>（2）对接京津冀，介入大区域产业分工与协作</w:t>
      </w:r>
    </w:p>
    <w:p>
      <w:pPr>
        <w:spacing w:before="156"/>
      </w:pPr>
      <w:r>
        <w:rPr>
          <w:rFonts w:hint="eastAsia"/>
        </w:rPr>
        <w:t>推动石太铁路的提升改造，加快大西客专和晋中站的建设；结合石太客运专线，争取开行晋中站直达北京的列车，并积极推动石太第二高速公路建设。</w:t>
      </w:r>
    </w:p>
    <w:p>
      <w:pPr>
        <w:spacing w:before="156"/>
      </w:pPr>
      <w:r>
        <w:rPr>
          <w:rFonts w:hint="eastAsia"/>
        </w:rPr>
        <w:t>探索与</w:t>
      </w:r>
      <w:r>
        <w:rPr>
          <w:rFonts w:hint="eastAsia"/>
          <w:u w:val="none"/>
        </w:rPr>
        <w:t>京津冀</w:t>
      </w:r>
      <w:r>
        <w:rPr>
          <w:rFonts w:hint="eastAsia"/>
        </w:rPr>
        <w:t>合作建设产业园，积极承接产业转移，推动区域产业合作。</w:t>
      </w:r>
    </w:p>
    <w:p>
      <w:pPr>
        <w:pStyle w:val="131"/>
        <w:spacing w:before="156"/>
        <w:ind w:left="960"/>
      </w:pPr>
      <w:r>
        <w:rPr>
          <w:rFonts w:hint="eastAsia"/>
        </w:rPr>
        <w:t>（3）借力山西综改示范区建设，推进太晋一体化，融入都市区</w:t>
      </w:r>
    </w:p>
    <w:p>
      <w:pPr>
        <w:spacing w:before="156"/>
      </w:pPr>
      <w:r>
        <w:rPr>
          <w:rFonts w:hint="eastAsia"/>
        </w:rPr>
        <w:t>大力推进太原都市区建设，促进晋中城区、太原城区以及太谷的融合发展；借力山西综改示范区的建设，全面打造煤转化科研试验基地，加快传统产业的转型升级，培育新兴产业，促进传统产业向都市型产业演变；积极引进太原大型企业的新增生产环节落户晋中。</w:t>
      </w:r>
    </w:p>
    <w:p>
      <w:pPr>
        <w:pStyle w:val="131"/>
        <w:spacing w:before="156"/>
        <w:ind w:left="960"/>
      </w:pPr>
      <w:r>
        <w:rPr>
          <w:rFonts w:hint="eastAsia"/>
        </w:rPr>
        <w:t>（4）整合市域资源，强化市域联系，拓展腹地</w:t>
      </w:r>
    </w:p>
    <w:p>
      <w:pPr>
        <w:spacing w:before="156"/>
      </w:pPr>
      <w:r>
        <w:rPr>
          <w:rFonts w:hint="eastAsia"/>
        </w:rPr>
        <w:t>发挥比较优势，整合市域优质农业资源、矿产资源、旅游资源，积极联动和巩固腹地，构建强大的“中心-腹地”结构，以壮大经济规模；建立中心到腹地的便捷交通联系，提供公共服务，巩固中心地位。</w:t>
      </w:r>
    </w:p>
    <w:p>
      <w:pPr>
        <w:pStyle w:val="131"/>
        <w:spacing w:before="156"/>
        <w:ind w:left="960"/>
      </w:pPr>
      <w:r>
        <w:rPr>
          <w:rFonts w:hint="eastAsia"/>
        </w:rPr>
        <w:t>（5）加强区域协调，促进各级城镇综合</w:t>
      </w:r>
    </w:p>
    <w:p>
      <w:pPr>
        <w:spacing w:before="156"/>
      </w:pPr>
      <w:r>
        <w:rPr>
          <w:rFonts w:hint="eastAsia"/>
        </w:rPr>
        <w:t>积极推进汾平介孝灵城市群一体化发展，培育带动108沿线城镇密集区协同发展，构建大中小城市和小城镇协调发展的城镇格局。</w:t>
      </w:r>
    </w:p>
    <w:p>
      <w:pPr>
        <w:pStyle w:val="4"/>
        <w:tabs>
          <w:tab w:val="left" w:pos="993"/>
          <w:tab w:val="clear" w:pos="1260"/>
        </w:tabs>
        <w:spacing w:before="312"/>
        <w:ind w:left="851" w:hanging="834"/>
      </w:pPr>
      <w:r>
        <w:rPr>
          <w:rFonts w:hint="eastAsia"/>
        </w:rPr>
        <w:t>产业战略：立足资源，优化转型，构建多元产业体系</w:t>
      </w:r>
    </w:p>
    <w:p>
      <w:pPr>
        <w:pStyle w:val="131"/>
        <w:spacing w:before="156"/>
        <w:ind w:left="960"/>
      </w:pPr>
      <w:r>
        <w:rPr>
          <w:rFonts w:hint="eastAsia"/>
        </w:rPr>
        <w:t>（1）技术提升，延伸产业链，加快资源型产业的精深加工发展</w:t>
      </w:r>
    </w:p>
    <w:p>
      <w:pPr>
        <w:spacing w:before="156"/>
      </w:pPr>
      <w:r>
        <w:rPr>
          <w:rFonts w:hint="eastAsia"/>
        </w:rPr>
        <w:t>加强技术改造，结合企业重组，实现传统产业的现代化改造。纵向延伸产业链，将对煤炭的初级加工延伸到上、下游产品的综合利用；在煤炭、焦炭、化工、冶金等行业之间构筑横向的产业链条，促进资源的综合循环利用；以产业集群的方式促进不同产业的合作和循环经济发展。依托现有园区，加快全市开发区改革创新，整合现有园区，实现集约化和规模化发展。</w:t>
      </w:r>
    </w:p>
    <w:p>
      <w:pPr>
        <w:pStyle w:val="131"/>
        <w:spacing w:before="156"/>
        <w:ind w:left="960"/>
      </w:pPr>
      <w:r>
        <w:rPr>
          <w:rFonts w:hint="eastAsia"/>
        </w:rPr>
        <w:t>（2）巩固和壮大新支柱产业，推动产业多元化和高加工度化发展</w:t>
      </w:r>
    </w:p>
    <w:p>
      <w:pPr>
        <w:spacing w:before="156"/>
      </w:pPr>
      <w:r>
        <w:rPr>
          <w:rFonts w:hint="eastAsia"/>
        </w:rPr>
        <w:t>积极发展机械装备制造业，推动产业层次向“高加工度化”演进。推进以“榆太祁”为中心的平川农副产品和以“和左榆”为中心的高寒山区绿色食品加工两大基地建设。依托现有医药工业基础，壮大品牌、集群发展，形成特色医药工业体系；加大技术创新力度，配套先进技术装备，实现玻璃器皿、纺织、金属制品制造业等轻工行业向深加工、精加工发展。</w:t>
      </w:r>
    </w:p>
    <w:p>
      <w:pPr>
        <w:pStyle w:val="131"/>
        <w:spacing w:before="156"/>
        <w:ind w:left="960"/>
      </w:pPr>
      <w:r>
        <w:rPr>
          <w:rFonts w:hint="eastAsia"/>
        </w:rPr>
        <w:t>（3）关注区域，重点突破，强化中心城区服务业发展</w:t>
      </w:r>
    </w:p>
    <w:p>
      <w:pPr>
        <w:spacing w:before="156"/>
      </w:pPr>
      <w:r>
        <w:rPr>
          <w:rFonts w:hint="eastAsia"/>
        </w:rPr>
        <w:t>依托交通区位优势，大力发展现代物流业，打造山西省最重要的商贸物流基地。整合旅游资源</w:t>
      </w:r>
      <w:r>
        <w:t>,</w:t>
      </w:r>
      <w:r>
        <w:rPr>
          <w:rFonts w:hint="eastAsia"/>
        </w:rPr>
        <w:t>建设山西省重要的旅游目的地和旅游服务基地；彰显生态优势和环境优势，打造太原都市圈的生态旅游、休闲度假的服务基地。承接太原中心居住功能的疏散，以品质立区、环境取胜，成为太原盆地城镇密集区内文化生态融合的宜居之城。推动高校新校区发展，积极培育职教培训服务，建设太原都市区的教育培训基地。</w:t>
      </w:r>
    </w:p>
    <w:p>
      <w:pPr>
        <w:pStyle w:val="131"/>
        <w:spacing w:before="156"/>
        <w:ind w:left="960"/>
      </w:pPr>
      <w:r>
        <w:rPr>
          <w:rFonts w:hint="eastAsia"/>
        </w:rPr>
        <w:t>（4）做精做优，推动传统农业向现代农业转型</w:t>
      </w:r>
    </w:p>
    <w:p>
      <w:pPr>
        <w:spacing w:before="156"/>
      </w:pPr>
      <w:r>
        <w:rPr>
          <w:rFonts w:hint="eastAsia"/>
        </w:rPr>
        <w:t>加快现代农业生产基地建设，推动农业产业化发展和规模化经营。围绕大太原都市区建设，积极发展城郊都市型农业。东山六县发挥生态优势，打造生态农业品牌。</w:t>
      </w:r>
    </w:p>
    <w:p>
      <w:pPr>
        <w:pStyle w:val="4"/>
        <w:tabs>
          <w:tab w:val="left" w:pos="993"/>
          <w:tab w:val="clear" w:pos="1260"/>
        </w:tabs>
        <w:spacing w:before="312"/>
        <w:ind w:left="851" w:hanging="834"/>
      </w:pPr>
      <w:r>
        <w:rPr>
          <w:rFonts w:hint="eastAsia"/>
        </w:rPr>
        <w:t>旅游战略：文化引领，多元发展，推动旅游跨越发展</w:t>
      </w:r>
    </w:p>
    <w:p>
      <w:pPr>
        <w:pStyle w:val="131"/>
        <w:spacing w:before="156"/>
        <w:ind w:left="960"/>
      </w:pPr>
      <w:r>
        <w:rPr>
          <w:rFonts w:hint="eastAsia"/>
        </w:rPr>
        <w:t>（1）区域协作，文化引领，加强晋商文化旅游品牌建设</w:t>
      </w:r>
    </w:p>
    <w:p>
      <w:pPr>
        <w:spacing w:before="156"/>
      </w:pPr>
      <w:r>
        <w:rPr>
          <w:rFonts w:hint="eastAsia"/>
        </w:rPr>
        <w:t>市内各县建立</w:t>
      </w:r>
      <w:r>
        <w:t>旅游联盟</w:t>
      </w:r>
      <w:r>
        <w:rPr>
          <w:rFonts w:hint="eastAsia"/>
        </w:rPr>
        <w:t>，打破行政界限和地域分割，放大“晋商文化”“古城大院”的品牌效应，对外进行捆绑促销</w:t>
      </w:r>
      <w:r>
        <w:t>，扩大晋中旅游知名度</w:t>
      </w:r>
      <w:r>
        <w:rPr>
          <w:rFonts w:hint="eastAsia"/>
        </w:rPr>
        <w:t>。</w:t>
      </w:r>
    </w:p>
    <w:p>
      <w:pPr>
        <w:spacing w:before="156"/>
      </w:pPr>
      <w:r>
        <w:rPr>
          <w:rFonts w:hint="eastAsia"/>
        </w:rPr>
        <w:t>重点依托以城池古镇、村落古堡、商号古店、深宅古院、名胜古迹与诗书古雕等文化遗产，大力发展晋商和民俗主题的文化旅游。</w:t>
      </w:r>
    </w:p>
    <w:p>
      <w:pPr>
        <w:spacing w:before="156"/>
      </w:pPr>
      <w:r>
        <w:rPr>
          <w:rFonts w:hint="eastAsia"/>
        </w:rPr>
        <w:t>组建区域景区政府协调组织或区域景区开发集团，协调各旅游地之间的关系，推动区域旅游合作进行，</w:t>
      </w:r>
      <w:r>
        <w:t>共同打造山西中部强势旅游产品。</w:t>
      </w:r>
    </w:p>
    <w:p>
      <w:pPr>
        <w:pStyle w:val="131"/>
        <w:spacing w:before="156"/>
        <w:ind w:left="960"/>
      </w:pPr>
      <w:r>
        <w:rPr>
          <w:rFonts w:hint="eastAsia"/>
        </w:rPr>
        <w:t>（2）整合资源，开发多元旅游产品</w:t>
      </w:r>
    </w:p>
    <w:p>
      <w:pPr>
        <w:spacing w:before="156"/>
      </w:pPr>
      <w:r>
        <w:rPr>
          <w:rFonts w:hint="eastAsia"/>
        </w:rPr>
        <w:t>着力</w:t>
      </w:r>
      <w:r>
        <w:t>强化旅游和文化传统、文化创意的结合</w:t>
      </w:r>
      <w:r>
        <w:rPr>
          <w:rFonts w:hint="eastAsia"/>
        </w:rPr>
        <w:t>，</w:t>
      </w:r>
      <w:r>
        <w:t>加强休闲度假、红色旅游、工农体验的产品开发，扩大旅游消费种类</w:t>
      </w:r>
      <w:r>
        <w:rPr>
          <w:rFonts w:hint="eastAsia"/>
        </w:rPr>
        <w:t>，创造旅游的高附加值。</w:t>
      </w:r>
    </w:p>
    <w:p>
      <w:pPr>
        <w:spacing w:before="156"/>
      </w:pPr>
      <w:r>
        <w:rPr>
          <w:rFonts w:hint="eastAsia"/>
        </w:rPr>
        <w:t>整合昔阳大寨、左权麻田等红色旅游景区，打造红色文化旅游品牌。依托“三山、两园、一湖、一带”拓展观光休闲大众度假品牌，积极开发农家乐。加快文化产业基地建设，扶持文化产业龙头企业。</w:t>
      </w:r>
    </w:p>
    <w:p>
      <w:pPr>
        <w:spacing w:before="156"/>
      </w:pPr>
      <w:r>
        <w:rPr>
          <w:rFonts w:hint="eastAsia"/>
        </w:rPr>
        <w:t>通过文艺表演、工艺表演等趣味性、互动性、体验性活动吸引和活跃游客，带动旅游的购物、餐饮、住宿消费增长。建立统一、集中的工艺展示基地，</w:t>
      </w:r>
      <w:r>
        <w:t>加大旅游商品开发力度</w:t>
      </w:r>
      <w:r>
        <w:rPr>
          <w:rFonts w:hint="eastAsia"/>
        </w:rPr>
        <w:t>。</w:t>
      </w:r>
    </w:p>
    <w:p>
      <w:pPr>
        <w:pStyle w:val="131"/>
        <w:spacing w:before="156"/>
        <w:ind w:left="960"/>
      </w:pPr>
      <w:r>
        <w:rPr>
          <w:rFonts w:hint="eastAsia"/>
        </w:rPr>
        <w:t>（3）</w:t>
      </w:r>
      <w:r>
        <w:t>品质</w:t>
      </w:r>
      <w:r>
        <w:rPr>
          <w:rFonts w:hint="eastAsia"/>
        </w:rPr>
        <w:t>提升，完善旅游配套服务设施</w:t>
      </w:r>
    </w:p>
    <w:p>
      <w:pPr>
        <w:spacing w:before="156"/>
      </w:pPr>
      <w:r>
        <w:rPr>
          <w:rFonts w:hint="eastAsia"/>
        </w:rPr>
        <w:t>完善交通基础设施和旅游配套服务设施，提升服务品质。树立</w:t>
      </w:r>
      <w:r>
        <w:t>保护生态和历史文化环境</w:t>
      </w:r>
      <w:r>
        <w:rPr>
          <w:rFonts w:hint="eastAsia"/>
        </w:rPr>
        <w:t>的观念</w:t>
      </w:r>
      <w:r>
        <w:t>，以</w:t>
      </w:r>
      <w:r>
        <w:rPr>
          <w:rFonts w:hint="eastAsia"/>
        </w:rPr>
        <w:t>良好</w:t>
      </w:r>
      <w:r>
        <w:t>环境促进旅游发展</w:t>
      </w:r>
      <w:r>
        <w:rPr>
          <w:rFonts w:hint="eastAsia"/>
        </w:rPr>
        <w:t>。</w:t>
      </w:r>
    </w:p>
    <w:p>
      <w:pPr>
        <w:pStyle w:val="4"/>
        <w:tabs>
          <w:tab w:val="left" w:pos="993"/>
          <w:tab w:val="clear" w:pos="1260"/>
        </w:tabs>
        <w:spacing w:before="312"/>
        <w:ind w:left="851" w:hanging="834"/>
      </w:pPr>
      <w:r>
        <w:rPr>
          <w:rFonts w:hint="eastAsia"/>
        </w:rPr>
        <w:t>生态战略：强化资源保护，逐步修复地区生态环境</w:t>
      </w:r>
    </w:p>
    <w:p>
      <w:pPr>
        <w:pStyle w:val="131"/>
        <w:spacing w:before="156"/>
        <w:ind w:left="960"/>
      </w:pPr>
      <w:r>
        <w:rPr>
          <w:rFonts w:hint="eastAsia"/>
        </w:rPr>
        <w:t>（1）加强重要生态节点的保护</w:t>
      </w:r>
    </w:p>
    <w:p>
      <w:pPr>
        <w:spacing w:before="156"/>
        <w:rPr>
          <w:rFonts w:ascii="宋体" w:hAnsi="宋体"/>
        </w:rPr>
      </w:pPr>
      <w:r>
        <w:rPr>
          <w:rFonts w:hint="eastAsia"/>
        </w:rPr>
        <w:t>加强自然保护区、森林公园以及水源地的</w:t>
      </w:r>
      <w:r>
        <w:rPr>
          <w:rFonts w:hint="eastAsia" w:ascii="宋体" w:hAnsi="宋体"/>
        </w:rPr>
        <w:t>保护。各类保护区内禁止毁林垦荒，对保护区内已开垦土地应当逐步停耕还林；重点饮用水源周边加强生态公益林建设、水土流失治理、农业综合开发等综合性措施，建设绿化带；饮用水源周边禁止新建扩建排污口、养殖等行为、禁止倾倒废水、堆放垃圾、严格禁止农药化肥使用。</w:t>
      </w:r>
    </w:p>
    <w:p>
      <w:pPr>
        <w:pStyle w:val="131"/>
        <w:spacing w:before="156"/>
        <w:ind w:left="960"/>
      </w:pPr>
      <w:r>
        <w:rPr>
          <w:rFonts w:hint="eastAsia"/>
        </w:rPr>
        <w:t>（2）加强生态廊道建设</w:t>
      </w:r>
    </w:p>
    <w:p>
      <w:pPr>
        <w:spacing w:before="156"/>
      </w:pPr>
      <w:r>
        <w:rPr>
          <w:rFonts w:hint="eastAsia"/>
        </w:rPr>
        <w:t>依托山脉、河流水系进行生态廊道建设。</w:t>
      </w:r>
    </w:p>
    <w:p>
      <w:pPr>
        <w:spacing w:before="156"/>
      </w:pPr>
      <w:r>
        <w:rPr>
          <w:rFonts w:hint="eastAsia"/>
        </w:rPr>
        <w:t>建设太行山脉-太岳山脉廊道，加强山体植被条件建设和恢复，提高植被覆盖率；禁止对主要山体进行大开大挖的场地整平，植树造林，治理水土流失。</w:t>
      </w:r>
    </w:p>
    <w:p>
      <w:pPr>
        <w:spacing w:before="156"/>
      </w:pPr>
      <w:r>
        <w:rPr>
          <w:rFonts w:hint="eastAsia"/>
        </w:rPr>
        <w:t>加强重要河流生态廊道的建设，包括汾河、潇河-松溪河、浊漳河、清漳河等。沿干流建设不少于50米宽的防护林带，防止污染物质排入河道；沿河避免建设污染型工业；积极治理农业面源污染。沿支流建设不少于30米宽的防护林带，涵养水源、保持水土，阻隔污染。</w:t>
      </w:r>
    </w:p>
    <w:p>
      <w:pPr>
        <w:pStyle w:val="2"/>
        <w:spacing w:before="156"/>
        <w:ind w:left="1200" w:leftChars="250" w:hanging="600"/>
        <w:sectPr>
          <w:pgSz w:w="11906" w:h="16838"/>
          <w:pgMar w:top="1440" w:right="1800" w:bottom="1440" w:left="1800" w:header="851" w:footer="992" w:gutter="0"/>
          <w:pgNumType w:start="1"/>
          <w:cols w:space="425" w:num="1"/>
          <w:docGrid w:type="lines" w:linePitch="312" w:charSpace="0"/>
        </w:sectPr>
      </w:pPr>
      <w:bookmarkStart w:id="46" w:name="_Toc277459689"/>
      <w:bookmarkStart w:id="47" w:name="_Toc277460533"/>
      <w:bookmarkStart w:id="48" w:name="_Toc275418457"/>
      <w:bookmarkStart w:id="49" w:name="_Toc277460847"/>
      <w:bookmarkStart w:id="50" w:name="_Toc277460136"/>
      <w:bookmarkStart w:id="51" w:name="_Toc277460690"/>
      <w:bookmarkStart w:id="52" w:name="_Toc275417932"/>
    </w:p>
    <w:p>
      <w:pPr>
        <w:pStyle w:val="2"/>
        <w:spacing w:before="156"/>
        <w:ind w:left="1200" w:leftChars="250" w:hanging="600"/>
      </w:pPr>
      <w:bookmarkStart w:id="53" w:name="_Toc492850089"/>
      <w:r>
        <w:rPr>
          <w:rStyle w:val="52"/>
          <w:rFonts w:hint="eastAsia"/>
          <w:color w:val="auto"/>
          <w:u w:val="none"/>
        </w:rPr>
        <w:t>市域城镇体系规划</w:t>
      </w:r>
      <w:bookmarkEnd w:id="46"/>
      <w:bookmarkEnd w:id="47"/>
      <w:bookmarkEnd w:id="48"/>
      <w:bookmarkEnd w:id="49"/>
      <w:bookmarkEnd w:id="50"/>
      <w:bookmarkEnd w:id="51"/>
      <w:bookmarkEnd w:id="52"/>
      <w:bookmarkEnd w:id="53"/>
      <w:bookmarkStart w:id="54" w:name="_Toc277460137"/>
      <w:bookmarkStart w:id="55" w:name="_Toc277460848"/>
      <w:bookmarkStart w:id="56" w:name="_Toc277460534"/>
      <w:bookmarkStart w:id="57" w:name="_Toc277460691"/>
      <w:bookmarkStart w:id="58" w:name="_Toc277459690"/>
      <w:bookmarkStart w:id="59" w:name="_Toc275418458"/>
      <w:bookmarkStart w:id="60" w:name="_Toc275417933"/>
    </w:p>
    <w:p>
      <w:pPr>
        <w:pStyle w:val="3"/>
        <w:spacing w:before="156" w:after="156"/>
        <w:rPr>
          <w:rStyle w:val="52"/>
          <w:b w:val="0"/>
          <w:color w:val="auto"/>
          <w:u w:val="none"/>
        </w:rPr>
      </w:pPr>
      <w:bookmarkStart w:id="61" w:name="_Toc492850090"/>
      <w:r>
        <w:rPr>
          <w:rStyle w:val="52"/>
          <w:rFonts w:hint="eastAsia"/>
          <w:b w:val="0"/>
          <w:color w:val="auto"/>
          <w:u w:val="none"/>
        </w:rPr>
        <w:t>第一节 市域人口与城镇化发展</w:t>
      </w:r>
      <w:bookmarkEnd w:id="61"/>
    </w:p>
    <w:p>
      <w:pPr>
        <w:pStyle w:val="4"/>
        <w:tabs>
          <w:tab w:val="left" w:pos="993"/>
          <w:tab w:val="clear" w:pos="1260"/>
        </w:tabs>
        <w:spacing w:before="312"/>
        <w:ind w:left="851" w:hanging="834"/>
      </w:pPr>
      <w:r>
        <w:rPr>
          <w:rFonts w:hint="eastAsia"/>
        </w:rPr>
        <w:t>市域人口规模</w:t>
      </w:r>
    </w:p>
    <w:p>
      <w:pPr>
        <w:spacing w:before="156"/>
      </w:pPr>
      <w:r>
        <w:rPr>
          <w:rFonts w:hint="eastAsia"/>
        </w:rPr>
        <w:t>晋中市域总人口2020年达到400万人；2030年达到460万人。</w:t>
      </w:r>
    </w:p>
    <w:p>
      <w:pPr>
        <w:pStyle w:val="4"/>
        <w:tabs>
          <w:tab w:val="left" w:pos="993"/>
          <w:tab w:val="clear" w:pos="1260"/>
        </w:tabs>
        <w:spacing w:before="312"/>
        <w:ind w:left="851" w:hanging="834"/>
      </w:pPr>
      <w:r>
        <w:rPr>
          <w:rFonts w:hint="eastAsia"/>
        </w:rPr>
        <w:t>城镇化水平预测</w:t>
      </w:r>
    </w:p>
    <w:p>
      <w:pPr>
        <w:spacing w:before="156"/>
      </w:pPr>
      <w:r>
        <w:rPr>
          <w:rFonts w:hint="eastAsia"/>
        </w:rPr>
        <w:t>晋中市域城镇化水平2020年达到60%，2030年达到70%。</w:t>
      </w:r>
    </w:p>
    <w:p>
      <w:pPr>
        <w:pStyle w:val="4"/>
        <w:tabs>
          <w:tab w:val="left" w:pos="993"/>
          <w:tab w:val="clear" w:pos="1260"/>
        </w:tabs>
        <w:spacing w:before="312"/>
        <w:ind w:left="851" w:hanging="834"/>
      </w:pPr>
      <w:r>
        <w:rPr>
          <w:rFonts w:hint="eastAsia"/>
        </w:rPr>
        <w:t>城镇化发展策略</w:t>
      </w:r>
    </w:p>
    <w:p>
      <w:pPr>
        <w:pStyle w:val="131"/>
        <w:spacing w:before="156"/>
        <w:ind w:left="960"/>
      </w:pPr>
      <w:r>
        <w:rPr>
          <w:rFonts w:hint="eastAsia"/>
        </w:rPr>
        <w:t>（1）优先发展中心城区和介休市区，打造带动市域发展的核心</w:t>
      </w:r>
    </w:p>
    <w:p>
      <w:pPr>
        <w:spacing w:before="156"/>
      </w:pPr>
      <w:r>
        <w:rPr>
          <w:rFonts w:hint="eastAsia"/>
        </w:rPr>
        <w:t>晋中中心城区应借势太原，将中心城区建设成为</w:t>
      </w:r>
      <w:r>
        <w:rPr>
          <w:rFonts w:hint="eastAsia"/>
          <w:kern w:val="0"/>
        </w:rPr>
        <w:t>与太原中心城区互补发展的省域核心组成、辐射和带动市域发展的增长点</w:t>
      </w:r>
      <w:r>
        <w:rPr>
          <w:rFonts w:hint="eastAsia"/>
        </w:rPr>
        <w:t>。</w:t>
      </w:r>
    </w:p>
    <w:p>
      <w:pPr>
        <w:spacing w:before="156"/>
        <w:rPr>
          <w:b/>
        </w:rPr>
      </w:pPr>
      <w:r>
        <w:rPr>
          <w:rFonts w:hint="eastAsia"/>
        </w:rPr>
        <w:t>介休应加强与吕梁的孝义、汾阳等市的经济联系，</w:t>
      </w:r>
      <w:r>
        <w:t>发挥各自的交通、资源和特色产业优势，</w:t>
      </w:r>
      <w:r>
        <w:rPr>
          <w:rFonts w:hint="eastAsia"/>
        </w:rPr>
        <w:t>共同构建以介休为中心、</w:t>
      </w:r>
      <w:r>
        <w:t>功能协作、联系紧密的城镇复合体</w:t>
      </w:r>
      <w:r>
        <w:rPr>
          <w:rFonts w:hint="eastAsia"/>
        </w:rPr>
        <w:t>。</w:t>
      </w:r>
    </w:p>
    <w:p>
      <w:pPr>
        <w:pStyle w:val="131"/>
        <w:spacing w:before="156"/>
        <w:ind w:left="960"/>
        <w:rPr>
          <w:bCs/>
        </w:rPr>
      </w:pPr>
      <w:r>
        <w:rPr>
          <w:rFonts w:hint="eastAsia"/>
        </w:rPr>
        <w:t>（2）</w:t>
      </w:r>
      <w:r>
        <w:rPr>
          <w:rFonts w:hint="eastAsia"/>
          <w:bCs/>
        </w:rPr>
        <w:t>实施“大县城”战略，引导人口向县城集中</w:t>
      </w:r>
    </w:p>
    <w:p>
      <w:pPr>
        <w:spacing w:before="156"/>
      </w:pPr>
      <w:r>
        <w:rPr>
          <w:rFonts w:hint="eastAsia"/>
        </w:rPr>
        <w:t>引导生产要素、优势资源向县城集中，提升城市的吸引力，引导人口集中，形成县域经济发展核心。</w:t>
      </w:r>
    </w:p>
    <w:p>
      <w:pPr>
        <w:spacing w:before="156"/>
      </w:pPr>
      <w:r>
        <w:rPr>
          <w:rFonts w:hint="eastAsia"/>
        </w:rPr>
        <w:t>平川地区的县城，应鼓励其积极促进经济发展与人口集聚，参与区域产业分工，分担区域职能。东山地区的县城，应强化特色培育与公共服务均等化建设，统筹城乡发展。</w:t>
      </w:r>
    </w:p>
    <w:p>
      <w:pPr>
        <w:pStyle w:val="131"/>
        <w:spacing w:before="156"/>
        <w:ind w:left="960"/>
      </w:pPr>
      <w:r>
        <w:rPr>
          <w:rFonts w:hint="eastAsia"/>
        </w:rPr>
        <w:t>（3）因地制宜，择优培育特色小城镇</w:t>
      </w:r>
    </w:p>
    <w:p>
      <w:pPr>
        <w:spacing w:before="156"/>
      </w:pPr>
      <w:r>
        <w:rPr>
          <w:kern w:val="0"/>
        </w:rPr>
        <w:t>按照控制数量、提高质量，节约用地、体现特色的要求，推动小城镇发展与疏解大城市中心城区功能相结合、与特色产业发展相结合、与服务</w:t>
      </w:r>
      <w:r>
        <w:rPr>
          <w:rFonts w:hint="eastAsia"/>
          <w:kern w:val="0"/>
        </w:rPr>
        <w:t>“</w:t>
      </w:r>
      <w:r>
        <w:rPr>
          <w:kern w:val="0"/>
        </w:rPr>
        <w:t>三农</w:t>
      </w:r>
      <w:r>
        <w:rPr>
          <w:rFonts w:hint="eastAsia"/>
          <w:kern w:val="0"/>
        </w:rPr>
        <w:t>”</w:t>
      </w:r>
      <w:r>
        <w:rPr>
          <w:kern w:val="0"/>
        </w:rPr>
        <w:t>相结合。</w:t>
      </w:r>
      <w:r>
        <w:rPr>
          <w:rFonts w:hint="eastAsia"/>
          <w:kern w:val="0"/>
        </w:rPr>
        <w:t>依据区域资源和发展条件分类引导，择优重点突破，支持若干强镇、特色镇的发展。</w:t>
      </w:r>
    </w:p>
    <w:p>
      <w:pPr>
        <w:pStyle w:val="3"/>
        <w:spacing w:before="156" w:after="156"/>
        <w:rPr>
          <w:rStyle w:val="52"/>
          <w:b w:val="0"/>
          <w:color w:val="auto"/>
          <w:u w:val="none"/>
        </w:rPr>
      </w:pPr>
      <w:bookmarkStart w:id="62" w:name="_Toc492850091"/>
      <w:r>
        <w:rPr>
          <w:rStyle w:val="52"/>
          <w:rFonts w:hint="eastAsia"/>
          <w:b w:val="0"/>
          <w:color w:val="auto"/>
          <w:u w:val="none"/>
        </w:rPr>
        <w:t>第二节 城乡统筹</w:t>
      </w:r>
      <w:bookmarkEnd w:id="54"/>
      <w:bookmarkEnd w:id="55"/>
      <w:bookmarkEnd w:id="56"/>
      <w:bookmarkEnd w:id="57"/>
      <w:bookmarkEnd w:id="58"/>
      <w:bookmarkEnd w:id="59"/>
      <w:bookmarkEnd w:id="60"/>
      <w:r>
        <w:rPr>
          <w:rStyle w:val="52"/>
          <w:rFonts w:hint="eastAsia"/>
          <w:b w:val="0"/>
          <w:color w:val="auto"/>
          <w:u w:val="none"/>
        </w:rPr>
        <w:t>发展的目标与策略</w:t>
      </w:r>
      <w:bookmarkEnd w:id="62"/>
    </w:p>
    <w:p>
      <w:pPr>
        <w:pStyle w:val="4"/>
        <w:tabs>
          <w:tab w:val="left" w:pos="993"/>
          <w:tab w:val="clear" w:pos="1260"/>
        </w:tabs>
        <w:spacing w:before="312"/>
        <w:ind w:left="851" w:hanging="834"/>
      </w:pPr>
      <w:bookmarkStart w:id="63" w:name="_Toc277460692"/>
      <w:bookmarkStart w:id="64" w:name="_Toc277460535"/>
      <w:bookmarkStart w:id="65" w:name="_Toc275418459"/>
      <w:bookmarkStart w:id="66" w:name="_Toc277460849"/>
      <w:bookmarkStart w:id="67" w:name="_Toc111120822"/>
      <w:bookmarkStart w:id="68" w:name="_Toc156707161"/>
      <w:bookmarkStart w:id="69" w:name="_Toc111967900"/>
      <w:bookmarkStart w:id="70" w:name="_Toc113763962"/>
      <w:r>
        <w:rPr>
          <w:rFonts w:hint="eastAsia"/>
        </w:rPr>
        <w:t>城乡统筹发展目标</w:t>
      </w:r>
      <w:bookmarkEnd w:id="63"/>
      <w:bookmarkEnd w:id="64"/>
      <w:bookmarkEnd w:id="65"/>
      <w:bookmarkEnd w:id="66"/>
    </w:p>
    <w:p>
      <w:pPr>
        <w:spacing w:before="156"/>
        <w:rPr>
          <w:u w:val="wave"/>
        </w:rPr>
      </w:pPr>
      <w:bookmarkStart w:id="71" w:name="_Toc111967908"/>
      <w:r>
        <w:rPr>
          <w:rFonts w:hint="eastAsia"/>
        </w:rPr>
        <w:t>形成城乡经济互动发展、城乡社会整体和谐、城乡空间集约有序、城乡生态环境协调融合、城乡基础设施高度共享、</w:t>
      </w:r>
      <w:r>
        <w:rPr>
          <w:rFonts w:hint="eastAsia"/>
          <w:u w:val="none"/>
        </w:rPr>
        <w:t>基本公共服务均等化的新格局。</w:t>
      </w:r>
    </w:p>
    <w:p>
      <w:pPr>
        <w:pStyle w:val="4"/>
        <w:tabs>
          <w:tab w:val="left" w:pos="993"/>
          <w:tab w:val="clear" w:pos="1260"/>
        </w:tabs>
        <w:spacing w:before="312"/>
        <w:ind w:left="851" w:hanging="834"/>
      </w:pPr>
      <w:bookmarkStart w:id="72" w:name="_Toc275418460"/>
      <w:bookmarkStart w:id="73" w:name="_Toc277460693"/>
      <w:bookmarkStart w:id="74" w:name="_Toc277460536"/>
      <w:bookmarkStart w:id="75" w:name="_Toc277460850"/>
      <w:r>
        <w:rPr>
          <w:rFonts w:hint="eastAsia"/>
        </w:rPr>
        <w:t>城乡统筹发展</w:t>
      </w:r>
      <w:bookmarkEnd w:id="72"/>
      <w:bookmarkEnd w:id="73"/>
      <w:bookmarkEnd w:id="74"/>
      <w:bookmarkEnd w:id="75"/>
      <w:r>
        <w:rPr>
          <w:rFonts w:hint="eastAsia"/>
        </w:rPr>
        <w:t>策略</w:t>
      </w:r>
    </w:p>
    <w:p>
      <w:pPr>
        <w:pStyle w:val="131"/>
        <w:spacing w:before="156"/>
        <w:ind w:left="960"/>
      </w:pPr>
      <w:r>
        <w:rPr>
          <w:rFonts w:hint="eastAsia"/>
        </w:rPr>
        <w:t>（1）统筹城乡经济发展</w:t>
      </w:r>
    </w:p>
    <w:p>
      <w:pPr>
        <w:spacing w:before="156"/>
      </w:pPr>
      <w:r>
        <w:rPr>
          <w:rFonts w:hint="eastAsia"/>
        </w:rPr>
        <w:t>提高城市的辐射带动能力，以县域经济、都市现代农业、绿色农业为突破，增强农村发展动力，加大“工业反哺农业，城市支持农村”的力度。</w:t>
      </w:r>
    </w:p>
    <w:p>
      <w:pPr>
        <w:spacing w:before="156"/>
      </w:pPr>
      <w:r>
        <w:rPr>
          <w:rFonts w:hint="eastAsia"/>
        </w:rPr>
        <w:t>健全农产品市场体系，加快大型农产品交易市场建设，扩大农民增收空间。围绕“奶、肉、菜、果、醋”五大加工产业，做大做强龙头企业，推进农业产业化进程，增强与城市消费市场的对接能力。</w:t>
      </w:r>
    </w:p>
    <w:p>
      <w:pPr>
        <w:spacing w:before="156"/>
      </w:pPr>
      <w:r>
        <w:rPr>
          <w:rFonts w:hint="eastAsia"/>
        </w:rPr>
        <w:t>围绕太原都市区的发展，整合城市资源与农村生产要素，在稳定粮食生产的基础上，大力发展都市现代农业，调整作物和品种结构，重点发展无公害蔬菜、优质果品、温室花卉、良种苗木、观光农业等。</w:t>
      </w:r>
    </w:p>
    <w:p>
      <w:pPr>
        <w:spacing w:before="156"/>
      </w:pPr>
      <w:r>
        <w:rPr>
          <w:rFonts w:hint="eastAsia"/>
        </w:rPr>
        <w:t>加大政府扶贫开发投资力度，通过劳动力培训转移、产业扶贫、移民扶贫，加快革命老区、贫困地区乡村发展。</w:t>
      </w:r>
    </w:p>
    <w:p>
      <w:pPr>
        <w:pStyle w:val="131"/>
        <w:spacing w:before="156"/>
        <w:ind w:left="960"/>
      </w:pPr>
      <w:r>
        <w:rPr>
          <w:rFonts w:hint="eastAsia"/>
        </w:rPr>
        <w:t>（2）统筹城乡社会文化发展</w:t>
      </w:r>
    </w:p>
    <w:p>
      <w:pPr>
        <w:spacing w:before="156"/>
      </w:pPr>
      <w:r>
        <w:rPr>
          <w:rFonts w:hint="eastAsia"/>
        </w:rPr>
        <w:t>加强农村地区的文教体卫服务体系建设，推进城乡公共服务设施均衡发展。</w:t>
      </w:r>
    </w:p>
    <w:p>
      <w:pPr>
        <w:spacing w:before="156"/>
      </w:pPr>
      <w:r>
        <w:t>实施</w:t>
      </w:r>
      <w:r>
        <w:rPr>
          <w:rFonts w:hint="eastAsia"/>
        </w:rPr>
        <w:t>科教</w:t>
      </w:r>
      <w:r>
        <w:t>兴农战略</w:t>
      </w:r>
      <w:r>
        <w:rPr>
          <w:rFonts w:hint="eastAsia"/>
        </w:rPr>
        <w:t>，推动农业科技创新，加大对农民的教育培训；利用网络等新技术推动</w:t>
      </w:r>
      <w:r>
        <w:t>城乡信息资源共享</w:t>
      </w:r>
      <w:r>
        <w:rPr>
          <w:rFonts w:hint="eastAsia"/>
        </w:rPr>
        <w:t>。</w:t>
      </w:r>
    </w:p>
    <w:p>
      <w:pPr>
        <w:spacing w:before="156"/>
      </w:pPr>
      <w:r>
        <w:rPr>
          <w:rFonts w:hint="eastAsia"/>
        </w:rPr>
        <w:t>有效整合城乡文化资源，提高都市文化的多元包容性，在大力发展现代都市文化的同时，注重对乡土文化的继承和弘扬，</w:t>
      </w:r>
      <w:r>
        <w:t>整合</w:t>
      </w:r>
      <w:r>
        <w:rPr>
          <w:rFonts w:hint="eastAsia"/>
        </w:rPr>
        <w:t>农村物质文化与非物质文化资源，建设晋中特色的农村文化产业链，并进一步推动城乡文化的交流与融合，丰富城乡文化生活。</w:t>
      </w:r>
    </w:p>
    <w:p>
      <w:pPr>
        <w:pStyle w:val="131"/>
        <w:spacing w:before="156"/>
        <w:ind w:left="960"/>
      </w:pPr>
      <w:r>
        <w:rPr>
          <w:rFonts w:hint="eastAsia"/>
        </w:rPr>
        <w:t>（3）统筹城乡空间发展</w:t>
      </w:r>
    </w:p>
    <w:p>
      <w:pPr>
        <w:spacing w:before="156"/>
      </w:pPr>
      <w:r>
        <w:rPr>
          <w:rFonts w:hint="eastAsia"/>
        </w:rPr>
        <w:t>按照人口向中心村以上的城乡居民点集中、非农产业向镇以上城镇集中的要求，进一步提高城乡空间的集约利用水平。</w:t>
      </w:r>
    </w:p>
    <w:p>
      <w:pPr>
        <w:spacing w:before="156"/>
      </w:pPr>
      <w:r>
        <w:rPr>
          <w:rFonts w:hint="eastAsia"/>
        </w:rPr>
        <w:t>引导城镇空间集约紧凑发展，提高城镇空间开发利用效能，减少对优质农业空间资源的占用；加强对各级城镇规划建设用地范围内村庄的管理，有效遏制违法建设。</w:t>
      </w:r>
    </w:p>
    <w:p>
      <w:pPr>
        <w:spacing w:before="156"/>
      </w:pPr>
      <w:r>
        <w:rPr>
          <w:rFonts w:hint="eastAsia"/>
        </w:rPr>
        <w:t>引导乡村空间合理有序发展，优化村庄布局，逐步归并农村居民点；加大禁建区内村庄搬迁与异地安置力度，做好农村宅基地整理工作，加大空置宅基地生态恢复和复垦力度。</w:t>
      </w:r>
    </w:p>
    <w:p>
      <w:pPr>
        <w:pStyle w:val="131"/>
        <w:spacing w:before="156"/>
        <w:ind w:left="960"/>
      </w:pPr>
      <w:r>
        <w:rPr>
          <w:rFonts w:hint="eastAsia"/>
        </w:rPr>
        <w:t>（4）统筹城乡生态环境保护</w:t>
      </w:r>
    </w:p>
    <w:p>
      <w:pPr>
        <w:spacing w:before="156"/>
      </w:pPr>
      <w:r>
        <w:rPr>
          <w:rFonts w:hint="eastAsia"/>
        </w:rPr>
        <w:t>重点加强太行山绿色屏障的建设，逐步推进山区移民工程，通过政策和经济手段引导东山地区人口向平川地区转移；大力推进退耕还林工程，对宜林荒山展开大规模的绿化造林工程，建设生态涵养区，加大对采煤塌陷区生态修复和治理的投入，促进可持续发展。</w:t>
      </w:r>
    </w:p>
    <w:p>
      <w:pPr>
        <w:spacing w:before="156"/>
      </w:pPr>
      <w:r>
        <w:rPr>
          <w:rFonts w:hint="eastAsia"/>
        </w:rPr>
        <w:t>加强城乡污染综合治理，统筹重点污染工业企业的治理和搬迁，合理布局，防止污染由城镇向广大农村地区扩散。</w:t>
      </w:r>
    </w:p>
    <w:p>
      <w:pPr>
        <w:spacing w:before="156"/>
      </w:pPr>
      <w:r>
        <w:rPr>
          <w:rFonts w:hint="eastAsia"/>
        </w:rPr>
        <w:t>以确保城乡集中式饮用水源地和汾河水质治理为重点，加强城乡污水和垃圾处理设施建设，确保治污设施正常运营。</w:t>
      </w:r>
    </w:p>
    <w:p>
      <w:pPr>
        <w:spacing w:before="156"/>
      </w:pPr>
      <w:r>
        <w:rPr>
          <w:rFonts w:hint="eastAsia"/>
        </w:rPr>
        <w:t>加大农村环境保护与生态建设力度，开展小流域综合治理，加强农田水利工程修复改造，搞好土地整理复垦，改造中低产田，建设节水增效示范园区；推进农村能源结构调整，把养殖业与改圈、改厕、改灶结合起来，大力推广使用沼气，发展可再生能源，建设生态农业和生态农村，提高农民生活质量。</w:t>
      </w:r>
    </w:p>
    <w:p>
      <w:pPr>
        <w:pStyle w:val="131"/>
        <w:spacing w:before="156"/>
        <w:ind w:left="960"/>
      </w:pPr>
      <w:r>
        <w:rPr>
          <w:rFonts w:hint="eastAsia"/>
        </w:rPr>
        <w:t>（5）统筹城乡基础设施建设</w:t>
      </w:r>
    </w:p>
    <w:p>
      <w:pPr>
        <w:spacing w:before="156"/>
      </w:pPr>
      <w:r>
        <w:rPr>
          <w:rFonts w:hint="eastAsia"/>
        </w:rPr>
        <w:t>加大对农村基础设施建设投入，逐步实现水利、交通、能源等基础设施建设的城乡一体化。</w:t>
      </w:r>
    </w:p>
    <w:p>
      <w:pPr>
        <w:spacing w:before="156"/>
      </w:pPr>
      <w:r>
        <w:rPr>
          <w:rFonts w:hint="eastAsia"/>
        </w:rPr>
        <w:t>推进城乡供水一体化建设，加强农村饮水安全建设；平川地区积极发展城乡统一供水，城镇供水系统应兼顾周边农村地区的供水，东部山区因地制宜采用山泉水或地下水等方式，实施农村改水工程，解决农村地区人畜饮水困难，保证饮水安全。</w:t>
      </w:r>
    </w:p>
    <w:p>
      <w:pPr>
        <w:spacing w:before="156"/>
      </w:pPr>
      <w:r>
        <w:rPr>
          <w:rFonts w:hint="eastAsia"/>
        </w:rPr>
        <w:t>推进城乡交通一体化建设，完善县乡公路系统，提高建设标准，强化乡村与城镇的交通联系；完善农村路网结构，提高农村道路等级，全市行政村全部通油（水泥）路；大力发展城乡之间的公共交通，显著改善农村居民出行条件。</w:t>
      </w:r>
    </w:p>
    <w:p>
      <w:pPr>
        <w:spacing w:before="156"/>
      </w:pPr>
      <w:r>
        <w:rPr>
          <w:rFonts w:hint="eastAsia"/>
        </w:rPr>
        <w:t>推进城乡电力、通信的一体化建设，加大农村电网改造力度，实现城乡用电同网同价，实现村村通电话、通广播电视，发展农村互联网用户，加强农村信息化建设。</w:t>
      </w:r>
      <w:bookmarkStart w:id="76" w:name="_Toc277460544"/>
      <w:bookmarkStart w:id="77" w:name="_Toc277459693"/>
      <w:bookmarkStart w:id="78" w:name="_Toc275418471"/>
      <w:bookmarkStart w:id="79" w:name="_Toc277460140"/>
      <w:bookmarkStart w:id="80" w:name="_Toc277460701"/>
      <w:bookmarkStart w:id="81" w:name="_Toc277460858"/>
      <w:bookmarkStart w:id="82" w:name="_Toc275417936"/>
    </w:p>
    <w:p>
      <w:pPr>
        <w:pStyle w:val="3"/>
        <w:spacing w:before="156" w:after="156"/>
        <w:rPr>
          <w:rStyle w:val="52"/>
          <w:b w:val="0"/>
          <w:color w:val="auto"/>
          <w:u w:val="none"/>
        </w:rPr>
      </w:pPr>
      <w:bookmarkStart w:id="83" w:name="_Toc492850092"/>
      <w:r>
        <w:rPr>
          <w:rStyle w:val="52"/>
          <w:rFonts w:hint="eastAsia"/>
          <w:b w:val="0"/>
          <w:color w:val="auto"/>
          <w:u w:val="none"/>
        </w:rPr>
        <w:t>第三节 市域城镇空间结构规划</w:t>
      </w:r>
      <w:bookmarkEnd w:id="76"/>
      <w:bookmarkEnd w:id="77"/>
      <w:bookmarkEnd w:id="78"/>
      <w:bookmarkEnd w:id="79"/>
      <w:bookmarkEnd w:id="80"/>
      <w:bookmarkEnd w:id="81"/>
      <w:bookmarkEnd w:id="82"/>
      <w:bookmarkEnd w:id="83"/>
    </w:p>
    <w:p>
      <w:pPr>
        <w:pStyle w:val="4"/>
        <w:tabs>
          <w:tab w:val="left" w:pos="993"/>
          <w:tab w:val="clear" w:pos="1260"/>
        </w:tabs>
        <w:spacing w:before="312"/>
        <w:ind w:left="851" w:hanging="834"/>
      </w:pPr>
      <w:bookmarkStart w:id="84" w:name="_Toc277460703"/>
      <w:bookmarkStart w:id="85" w:name="_Toc277460546"/>
      <w:bookmarkStart w:id="86" w:name="_Toc275418473"/>
      <w:bookmarkStart w:id="87" w:name="_Toc277460860"/>
      <w:r>
        <w:rPr>
          <w:rFonts w:hint="eastAsia"/>
        </w:rPr>
        <w:t>市域城镇空间布局结构</w:t>
      </w:r>
      <w:bookmarkEnd w:id="84"/>
      <w:bookmarkEnd w:id="85"/>
      <w:bookmarkEnd w:id="86"/>
      <w:bookmarkEnd w:id="87"/>
      <w:r>
        <w:rPr>
          <w:rFonts w:hint="eastAsia"/>
        </w:rPr>
        <w:t>规划</w:t>
      </w:r>
    </w:p>
    <w:p>
      <w:pPr>
        <w:spacing w:before="156"/>
      </w:pPr>
      <w:r>
        <w:rPr>
          <w:rFonts w:hint="eastAsia"/>
        </w:rPr>
        <w:t>规划晋中市域形成“一轴两区，一核两心”</w:t>
      </w:r>
      <w:r>
        <w:t>的城镇空间</w:t>
      </w:r>
      <w:r>
        <w:rPr>
          <w:rFonts w:hint="eastAsia"/>
        </w:rPr>
        <w:t>布局</w:t>
      </w:r>
      <w:r>
        <w:t>结构</w:t>
      </w:r>
      <w:r>
        <w:rPr>
          <w:rFonts w:hint="eastAsia"/>
        </w:rPr>
        <w:t>。</w:t>
      </w:r>
    </w:p>
    <w:p>
      <w:pPr>
        <w:pStyle w:val="131"/>
        <w:spacing w:before="156"/>
        <w:ind w:left="960"/>
      </w:pPr>
      <w:r>
        <w:rPr>
          <w:rFonts w:hint="eastAsia"/>
        </w:rPr>
        <w:t>（1）一轴</w:t>
      </w:r>
    </w:p>
    <w:p>
      <w:pPr>
        <w:spacing w:before="156"/>
      </w:pPr>
      <w:r>
        <w:rPr>
          <w:rFonts w:hint="eastAsia"/>
        </w:rPr>
        <w:t>即大运发展轴，是晋中市域的主要城镇发展轴线。</w:t>
      </w:r>
      <w:r>
        <w:t>以大运高速、108国道、南同蒲线铁路、规划大西客运</w:t>
      </w:r>
      <w:r>
        <w:rPr>
          <w:rFonts w:hint="eastAsia"/>
        </w:rPr>
        <w:t>专线</w:t>
      </w:r>
      <w:r>
        <w:t>等综合交通束为依托，串联榆次、太谷、祁县、平遥、介休、灵石6个县市内的主要城镇，对外联系方向主指太原和山西南部城市。</w:t>
      </w:r>
    </w:p>
    <w:p>
      <w:pPr>
        <w:pStyle w:val="131"/>
        <w:spacing w:before="156"/>
        <w:ind w:left="960"/>
      </w:pPr>
      <w:r>
        <w:rPr>
          <w:rFonts w:hint="eastAsia"/>
        </w:rPr>
        <w:t>（2）两区</w:t>
      </w:r>
    </w:p>
    <w:p>
      <w:pPr>
        <w:spacing w:before="156"/>
      </w:pPr>
      <w:r>
        <w:rPr>
          <w:rFonts w:hint="eastAsia"/>
        </w:rPr>
        <w:t>根据自然条件、发展水平、发展特征等要素将全市划分为东西两大发展片区，即平原城镇密集区和东山生态保育区。</w:t>
      </w:r>
    </w:p>
    <w:p>
      <w:pPr>
        <w:spacing w:before="156"/>
      </w:pPr>
      <w:r>
        <w:rPr>
          <w:rFonts w:hint="eastAsia"/>
        </w:rPr>
        <w:t>平原城镇密集区：地域范围包括榆次区、太谷县、祁县、平遥县以及介休市、灵石县，既是市域城镇化推进重点地区，同时也是农业现代化地区；应以太谷的山西“农谷”为依托，大力推动平原地区农业现代化发展，同时依托核心城镇，进一步引导城镇发展要素和人口向这一地区中心城镇汇集，实现城镇的集约发展。</w:t>
      </w:r>
    </w:p>
    <w:p>
      <w:pPr>
        <w:spacing w:before="156"/>
      </w:pPr>
      <w:r>
        <w:rPr>
          <w:rFonts w:hint="eastAsia"/>
        </w:rPr>
        <w:t>东山生态保育区：地域范围包括寿阳、昔阳、和顺、左权和榆社等东山五县，重点加强生态保育，适度控制城镇建设。</w:t>
      </w:r>
    </w:p>
    <w:p>
      <w:pPr>
        <w:pStyle w:val="131"/>
        <w:spacing w:before="156"/>
        <w:ind w:left="960"/>
      </w:pPr>
      <w:r>
        <w:rPr>
          <w:rFonts w:hint="eastAsia"/>
        </w:rPr>
        <w:t>（3）一核</w:t>
      </w:r>
    </w:p>
    <w:p>
      <w:pPr>
        <w:spacing w:before="156"/>
      </w:pPr>
      <w:r>
        <w:rPr>
          <w:rFonts w:hint="eastAsia"/>
        </w:rPr>
        <w:t>市域城镇发展核心——晋中中心城区，规划继续提升其辐射带动功能，联动太原、山西</w:t>
      </w:r>
      <w:r>
        <w:t>科技创新城</w:t>
      </w:r>
      <w:r>
        <w:rPr>
          <w:rFonts w:hint="eastAsia"/>
        </w:rPr>
        <w:t>核心区、农谷等功能区，建设服务区域、功能完善、富有吸引力的市域城镇发展核心区。</w:t>
      </w:r>
    </w:p>
    <w:p>
      <w:pPr>
        <w:pStyle w:val="131"/>
        <w:spacing w:before="156"/>
        <w:ind w:left="960"/>
      </w:pPr>
      <w:r>
        <w:rPr>
          <w:rFonts w:hint="eastAsia"/>
        </w:rPr>
        <w:t xml:space="preserve">（4）两心 </w:t>
      </w:r>
    </w:p>
    <w:p>
      <w:pPr>
        <w:pStyle w:val="131"/>
        <w:spacing w:before="156"/>
        <w:ind w:left="960" w:leftChars="350" w:hanging="120" w:hangingChars="50"/>
      </w:pPr>
      <w:r>
        <w:rPr>
          <w:rFonts w:hint="eastAsia"/>
        </w:rPr>
        <w:t xml:space="preserve">市域城镇发展副中心——介休城区，重点加强区域性服务职能的培育。 </w:t>
      </w:r>
    </w:p>
    <w:p>
      <w:pPr>
        <w:pStyle w:val="131"/>
        <w:spacing w:before="156"/>
        <w:ind w:left="960" w:leftChars="350" w:hanging="120" w:hangingChars="50"/>
      </w:pPr>
      <w:r>
        <w:rPr>
          <w:rFonts w:hint="eastAsia"/>
        </w:rPr>
        <w:t xml:space="preserve">市域旅游服务中心——平遥县城，承担市域旅游专项服务职能。 </w:t>
      </w:r>
    </w:p>
    <w:p>
      <w:pPr>
        <w:pStyle w:val="4"/>
        <w:tabs>
          <w:tab w:val="left" w:pos="993"/>
          <w:tab w:val="clear" w:pos="1260"/>
        </w:tabs>
        <w:spacing w:before="312"/>
        <w:ind w:left="851" w:hanging="834"/>
      </w:pPr>
      <w:bookmarkStart w:id="88" w:name="_Toc277460861"/>
      <w:bookmarkStart w:id="89" w:name="_Toc275418474"/>
      <w:bookmarkStart w:id="90" w:name="_Toc277460547"/>
      <w:bookmarkStart w:id="91" w:name="_Toc277460704"/>
      <w:r>
        <w:rPr>
          <w:rFonts w:hint="eastAsia"/>
        </w:rPr>
        <w:t>市域城镇规模结构</w:t>
      </w:r>
      <w:bookmarkEnd w:id="88"/>
      <w:bookmarkEnd w:id="89"/>
      <w:bookmarkEnd w:id="90"/>
      <w:bookmarkEnd w:id="91"/>
      <w:r>
        <w:rPr>
          <w:rFonts w:hint="eastAsia"/>
        </w:rPr>
        <w:t>规划</w:t>
      </w:r>
    </w:p>
    <w:p>
      <w:pPr>
        <w:spacing w:before="156"/>
      </w:pPr>
      <w:r>
        <w:rPr>
          <w:rFonts w:hint="eastAsia"/>
        </w:rPr>
        <w:t>市域城镇规模结构分为“</w:t>
      </w:r>
      <w:r>
        <w:rPr>
          <w:rFonts w:hint="eastAsia" w:ascii="宋体" w:hAnsi="宋体" w:cs="宋体"/>
        </w:rPr>
        <w:t>Ⅱ</w:t>
      </w:r>
      <w:r>
        <w:t>型</w:t>
      </w:r>
      <w:r>
        <w:rPr>
          <w:rFonts w:hint="eastAsia"/>
        </w:rPr>
        <w:t>大城市、</w:t>
      </w:r>
      <w:r>
        <w:t>Ⅰ型</w:t>
      </w:r>
      <w:r>
        <w:rPr>
          <w:rFonts w:hint="eastAsia"/>
        </w:rPr>
        <w:t>小城市、</w:t>
      </w:r>
      <w:r>
        <w:t>Ⅱ型</w:t>
      </w:r>
      <w:r>
        <w:rPr>
          <w:rFonts w:hint="eastAsia"/>
        </w:rPr>
        <w:t>小城市和小城镇”4级。规划各城镇等级规模详见附表2。</w:t>
      </w:r>
    </w:p>
    <w:p>
      <w:pPr>
        <w:pStyle w:val="131"/>
        <w:spacing w:before="156"/>
        <w:ind w:left="960"/>
      </w:pPr>
      <w:r>
        <w:rPr>
          <w:rFonts w:hint="eastAsia"/>
        </w:rPr>
        <w:t>（1）</w:t>
      </w:r>
      <w:r>
        <w:rPr>
          <w:rFonts w:hint="eastAsia" w:ascii="宋体" w:hAnsi="宋体" w:cs="宋体"/>
        </w:rPr>
        <w:t>Ⅱ</w:t>
      </w:r>
      <w:r>
        <w:t>型</w:t>
      </w:r>
      <w:r>
        <w:rPr>
          <w:rFonts w:hint="eastAsia"/>
        </w:rPr>
        <w:t>大城市</w:t>
      </w:r>
    </w:p>
    <w:p>
      <w:pPr>
        <w:spacing w:before="156"/>
      </w:pPr>
      <w:r>
        <w:rPr>
          <w:rFonts w:hint="eastAsia"/>
        </w:rPr>
        <w:t>具体为中心城区，规划2030年人口规模达到1</w:t>
      </w:r>
      <w:r>
        <w:t>32</w:t>
      </w:r>
      <w:r>
        <w:rPr>
          <w:rFonts w:hint="eastAsia"/>
        </w:rPr>
        <w:t>万。2020年中心城区人口规模为9</w:t>
      </w:r>
      <w:r>
        <w:t>5</w:t>
      </w:r>
      <w:r>
        <w:rPr>
          <w:rFonts w:hint="eastAsia"/>
        </w:rPr>
        <w:t>万人。</w:t>
      </w:r>
    </w:p>
    <w:p>
      <w:pPr>
        <w:pStyle w:val="131"/>
        <w:spacing w:before="156"/>
        <w:ind w:left="960"/>
      </w:pPr>
      <w:r>
        <w:rPr>
          <w:rFonts w:hint="eastAsia"/>
        </w:rPr>
        <w:t>（2）</w:t>
      </w:r>
      <w:r>
        <w:t>Ⅰ型</w:t>
      </w:r>
      <w:r>
        <w:rPr>
          <w:rFonts w:hint="eastAsia"/>
        </w:rPr>
        <w:t>小城市</w:t>
      </w:r>
    </w:p>
    <w:p>
      <w:pPr>
        <w:spacing w:before="156"/>
      </w:pPr>
      <w:r>
        <w:rPr>
          <w:rFonts w:hint="eastAsia"/>
        </w:rPr>
        <w:t>具体为介休城区、平遥县城和太谷县城。介休城区远期规划人口为30－50万人；平遥县城、太谷县城远期规划人口20-30万。</w:t>
      </w:r>
    </w:p>
    <w:p>
      <w:pPr>
        <w:pStyle w:val="131"/>
        <w:spacing w:before="156"/>
        <w:ind w:left="960"/>
      </w:pPr>
      <w:r>
        <w:rPr>
          <w:rFonts w:hint="eastAsia"/>
        </w:rPr>
        <w:t>（3）</w:t>
      </w:r>
      <w:r>
        <w:t>Ⅱ型</w:t>
      </w:r>
      <w:r>
        <w:rPr>
          <w:rFonts w:hint="eastAsia"/>
        </w:rPr>
        <w:t>小城市</w:t>
      </w:r>
    </w:p>
    <w:p>
      <w:pPr>
        <w:spacing w:before="156"/>
      </w:pPr>
      <w:r>
        <w:rPr>
          <w:rFonts w:hint="eastAsia"/>
        </w:rPr>
        <w:t>具体为祁县县城和灵石县城，规划期末形成人口规模10-20万的小城市。</w:t>
      </w:r>
    </w:p>
    <w:p>
      <w:pPr>
        <w:pStyle w:val="131"/>
        <w:spacing w:before="156"/>
        <w:ind w:left="960"/>
      </w:pPr>
      <w:r>
        <w:rPr>
          <w:rFonts w:hint="eastAsia"/>
        </w:rPr>
        <w:t>（4）小城镇</w:t>
      </w:r>
    </w:p>
    <w:p>
      <w:pPr>
        <w:spacing w:before="156"/>
      </w:pPr>
      <w:r>
        <w:rPr>
          <w:rFonts w:hint="eastAsia"/>
        </w:rPr>
        <w:t>规模小于10万人的小城镇共58个：</w:t>
      </w:r>
    </w:p>
    <w:p>
      <w:pPr>
        <w:spacing w:before="156"/>
      </w:pPr>
      <w:r>
        <w:rPr>
          <w:rFonts w:hint="eastAsia"/>
        </w:rPr>
        <w:t>1）人口规模5-10万人的城镇5个，分别为榆社县城、左权县城、和顺县城、昔阳县城和寿阳县城。</w:t>
      </w:r>
    </w:p>
    <w:p>
      <w:pPr>
        <w:spacing w:before="156"/>
      </w:pPr>
      <w:r>
        <w:rPr>
          <w:rFonts w:hint="eastAsia"/>
        </w:rPr>
        <w:t>2）2-5万人的小城镇4个，分别为榆次区的东阳镇区、灵石县的南关镇区、太谷县的胡村镇区和水秀镇区。</w:t>
      </w:r>
    </w:p>
    <w:p>
      <w:pPr>
        <w:spacing w:before="156"/>
      </w:pPr>
      <w:r>
        <w:rPr>
          <w:rFonts w:hint="eastAsia"/>
        </w:rPr>
        <w:t>3）人口规模1-2万人的城镇14个。</w:t>
      </w:r>
    </w:p>
    <w:p>
      <w:pPr>
        <w:spacing w:before="156"/>
      </w:pPr>
      <w:r>
        <w:rPr>
          <w:rFonts w:hint="eastAsia"/>
        </w:rPr>
        <w:t>4）人口规模小于1万人的城镇35个。</w:t>
      </w:r>
    </w:p>
    <w:p>
      <w:pPr>
        <w:pStyle w:val="4"/>
        <w:tabs>
          <w:tab w:val="left" w:pos="993"/>
          <w:tab w:val="clear" w:pos="1260"/>
        </w:tabs>
        <w:spacing w:before="312"/>
        <w:ind w:left="851" w:hanging="834"/>
      </w:pPr>
      <w:r>
        <w:rPr>
          <w:rFonts w:hint="eastAsia"/>
        </w:rPr>
        <w:t>市域城镇职能结构规划</w:t>
      </w:r>
    </w:p>
    <w:p>
      <w:pPr>
        <w:spacing w:before="156"/>
      </w:pPr>
      <w:r>
        <w:rPr>
          <w:rFonts w:ascii="宋体" w:hAnsi="宋体"/>
        </w:rPr>
        <w:t>引导职能发展比较完善的城镇向综合型发展</w:t>
      </w:r>
      <w:r>
        <w:rPr>
          <w:rFonts w:hint="eastAsia" w:ascii="宋体" w:hAnsi="宋体"/>
        </w:rPr>
        <w:t>，</w:t>
      </w:r>
      <w:r>
        <w:rPr>
          <w:rFonts w:ascii="宋体" w:hAnsi="宋体"/>
        </w:rPr>
        <w:t>积极做强工业型城镇，利用当地特色旅游资源发展旅游型城镇，使每个地域单元形成综合型、工业型、旅游型、商贸型和农业型城镇相互协调、相互配合、共同发展的局面。</w:t>
      </w:r>
      <w:r>
        <w:rPr>
          <w:rFonts w:hint="eastAsia" w:ascii="宋体" w:hAnsi="宋体"/>
        </w:rPr>
        <w:t>（见附表3）</w:t>
      </w:r>
    </w:p>
    <w:p>
      <w:pPr>
        <w:pStyle w:val="4"/>
        <w:tabs>
          <w:tab w:val="left" w:pos="993"/>
          <w:tab w:val="clear" w:pos="1260"/>
        </w:tabs>
        <w:spacing w:before="312"/>
        <w:ind w:left="851" w:hanging="834"/>
      </w:pPr>
      <w:r>
        <w:rPr>
          <w:rFonts w:hint="eastAsia"/>
        </w:rPr>
        <w:t>中心城镇发展指引</w:t>
      </w:r>
    </w:p>
    <w:p>
      <w:pPr>
        <w:pStyle w:val="131"/>
        <w:spacing w:before="156"/>
        <w:ind w:left="960"/>
      </w:pPr>
      <w:r>
        <w:rPr>
          <w:rFonts w:hint="eastAsia"/>
        </w:rPr>
        <w:t>（1）</w:t>
      </w:r>
      <w:r>
        <w:t>介休中心城区</w:t>
      </w:r>
    </w:p>
    <w:p>
      <w:pPr>
        <w:spacing w:before="156"/>
      </w:pPr>
      <w:r>
        <w:rPr>
          <w:rFonts w:hint="eastAsia"/>
        </w:rPr>
        <w:t>山西省中部、太原都市圈南部的区域中心城市，介孝汾平灵城镇组群的核心城市，省级历史文化名城，晋中市的副中心，</w:t>
      </w:r>
      <w:r>
        <w:t>新型化和清洁型煤焦化基地、特色化轻型工业基地</w:t>
      </w:r>
      <w:r>
        <w:rPr>
          <w:rFonts w:hint="eastAsia"/>
        </w:rPr>
        <w:t>，太原盆地的南部交通枢纽和</w:t>
      </w:r>
      <w:r>
        <w:t>新兴商贸物流基地</w:t>
      </w:r>
      <w:r>
        <w:rPr>
          <w:rFonts w:hint="eastAsia"/>
        </w:rPr>
        <w:t>，</w:t>
      </w:r>
      <w:r>
        <w:rPr>
          <w:color w:val="000000" w:themeColor="text1"/>
          <w14:textFill>
            <w14:solidFill>
              <w14:schemeClr w14:val="tx1"/>
            </w14:solidFill>
          </w14:textFill>
        </w:rPr>
        <w:t>文化体验旅</w:t>
      </w:r>
      <w:r>
        <w:rPr>
          <w:rFonts w:hint="eastAsia"/>
          <w:color w:val="000000" w:themeColor="text1"/>
          <w:lang w:val="en-US" w:eastAsia="zh-CN"/>
          <w14:textFill>
            <w14:solidFill>
              <w14:schemeClr w14:val="tx1"/>
            </w14:solidFill>
          </w14:textFill>
        </w:rPr>
        <w:t>游</w:t>
      </w:r>
      <w:r>
        <w:t>和山水生态休闲旅游基地。</w:t>
      </w:r>
    </w:p>
    <w:p>
      <w:pPr>
        <w:spacing w:before="156"/>
      </w:pPr>
      <w:r>
        <w:rPr>
          <w:rFonts w:hint="eastAsia"/>
        </w:rPr>
        <w:t>依托古城发展文化旅游业，利用新区建构现代服务业，结合铁路发展物流仓储业，形成市域商贸、旅游、物流仓储中心。强化循环经济园区建设，加快资源型产业转型发展。</w:t>
      </w:r>
      <w:r>
        <w:t>加快</w:t>
      </w:r>
      <w:r>
        <w:rPr>
          <w:rFonts w:hint="eastAsia"/>
        </w:rPr>
        <w:t>连</w:t>
      </w:r>
      <w:r>
        <w:t>接平遥、灵石、孝义、汾阳周边县市的交通网络与经济联系网络，打造30分钟经济圈。</w:t>
      </w:r>
    </w:p>
    <w:p>
      <w:pPr>
        <w:spacing w:before="156"/>
      </w:pPr>
      <w:r>
        <w:rPr>
          <w:rFonts w:hint="eastAsia"/>
        </w:rPr>
        <w:t>规划2030年介休城区的人口规模为30-50万人，城市</w:t>
      </w:r>
      <w:r>
        <w:t>人均建设用地控制在</w:t>
      </w:r>
      <w:r>
        <w:rPr>
          <w:rFonts w:hint="eastAsia"/>
        </w:rPr>
        <w:t>100</w:t>
      </w:r>
      <w:r>
        <w:t>平方米以内</w:t>
      </w:r>
      <w:r>
        <w:rPr>
          <w:rFonts w:hint="eastAsia"/>
        </w:rPr>
        <w:t>。</w:t>
      </w:r>
    </w:p>
    <w:p>
      <w:pPr>
        <w:pStyle w:val="131"/>
        <w:spacing w:before="156"/>
        <w:ind w:left="960"/>
      </w:pPr>
      <w:r>
        <w:rPr>
          <w:rFonts w:hint="eastAsia"/>
        </w:rPr>
        <w:t>（2）</w:t>
      </w:r>
      <w:r>
        <w:t>平遥县城</w:t>
      </w:r>
    </w:p>
    <w:p>
      <w:pPr>
        <w:spacing w:before="156"/>
      </w:pPr>
      <w:r>
        <w:rPr>
          <w:rFonts w:hint="eastAsia"/>
        </w:rPr>
        <w:t>世界文化遗产、国家历史文化名城，山西省和晋中市的旅游核心城市，平遥县政治、经济、文化中心。</w:t>
      </w:r>
    </w:p>
    <w:p>
      <w:pPr>
        <w:spacing w:before="156"/>
      </w:pPr>
      <w:r>
        <w:rPr>
          <w:rFonts w:hint="eastAsia"/>
        </w:rPr>
        <w:t>大力发展现代旅游休闲度假产业，重点发展休闲、观光、度假和文化创意、娱乐、康体等，</w:t>
      </w:r>
      <w:r>
        <w:t>打造具有国际影响力的旅游目的地。</w:t>
      </w:r>
      <w:r>
        <w:rPr>
          <w:rFonts w:hint="eastAsia"/>
        </w:rPr>
        <w:t>与旅游休闲产业相结合，积极培育会议会展等生产性服务业。发展商贸、房地产、运输、社区服务等现代服务业，建设宜居城市。适度发展无污染的特色工业、旅游商品制造、传统手工业等，</w:t>
      </w:r>
      <w:r>
        <w:t>提升城镇人口与产业的承载能力。</w:t>
      </w:r>
    </w:p>
    <w:p>
      <w:pPr>
        <w:spacing w:before="156"/>
      </w:pPr>
      <w:r>
        <w:rPr>
          <w:rFonts w:hint="eastAsia"/>
        </w:rPr>
        <w:t>规划2030年平遥县城的人口规模为20-30万人，城市</w:t>
      </w:r>
      <w:r>
        <w:t>人均建设用地控制在</w:t>
      </w:r>
      <w:r>
        <w:rPr>
          <w:rFonts w:hint="eastAsia"/>
        </w:rPr>
        <w:t>100</w:t>
      </w:r>
      <w:r>
        <w:t>平方米以内</w:t>
      </w:r>
      <w:r>
        <w:rPr>
          <w:rFonts w:hint="eastAsia"/>
        </w:rPr>
        <w:t>。</w:t>
      </w:r>
    </w:p>
    <w:p>
      <w:pPr>
        <w:pStyle w:val="131"/>
        <w:spacing w:before="156"/>
        <w:ind w:left="960"/>
      </w:pPr>
      <w:r>
        <w:rPr>
          <w:rFonts w:hint="eastAsia"/>
        </w:rPr>
        <w:t>（3）</w:t>
      </w:r>
      <w:r>
        <w:t>太谷县城</w:t>
      </w:r>
    </w:p>
    <w:p>
      <w:pPr>
        <w:spacing w:before="156"/>
      </w:pPr>
      <w:r>
        <w:rPr>
          <w:rFonts w:hint="eastAsia"/>
        </w:rPr>
        <w:t>山西“农谷”核心区、国家现代农业示范区、山西省现代农业和新型加工业基地，省级历史文化名城，晋商传统文化发展的策源地。</w:t>
      </w:r>
    </w:p>
    <w:p>
      <w:pPr>
        <w:spacing w:before="156"/>
      </w:pPr>
      <w:r>
        <w:rPr>
          <w:rFonts w:hint="eastAsia"/>
        </w:rPr>
        <w:t>服务于山西”农谷”，以山西农业大学为核心，突出农业科技创新、农业高新技术服务、农业创新创业企业孵化、农业人才培养和聚集四大功能，创建全省农业服务现代化示范，引领示范、辐射带动全省现代农业发展。</w:t>
      </w:r>
    </w:p>
    <w:p>
      <w:pPr>
        <w:spacing w:before="156"/>
      </w:pPr>
      <w:r>
        <w:rPr>
          <w:rFonts w:hint="eastAsia"/>
        </w:rPr>
        <w:t>以晋商文化为特色的历史文化名城，以文化教育、旅游休闲、商贸流通、食品饮料及农副产品深加工、一般加工制造等为主的太原都市区外围新城。强化地方特色文化，强化基础教育职能，营造良好的生态人文环境，构建独具吸引力的休闲度假区和精品宜居城市。</w:t>
      </w:r>
    </w:p>
    <w:p>
      <w:pPr>
        <w:spacing w:before="156"/>
      </w:pPr>
      <w:r>
        <w:rPr>
          <w:rFonts w:hint="eastAsia"/>
        </w:rPr>
        <w:t>规划2030年太谷县城的人口规模为20-30万人，城市</w:t>
      </w:r>
      <w:r>
        <w:t>人均建设用地控制在</w:t>
      </w:r>
      <w:r>
        <w:rPr>
          <w:rFonts w:hint="eastAsia"/>
        </w:rPr>
        <w:t>100</w:t>
      </w:r>
      <w:r>
        <w:t>平方米以内</w:t>
      </w:r>
      <w:r>
        <w:rPr>
          <w:rFonts w:hint="eastAsia"/>
        </w:rPr>
        <w:t>。</w:t>
      </w:r>
    </w:p>
    <w:p>
      <w:pPr>
        <w:pStyle w:val="131"/>
        <w:spacing w:before="156"/>
        <w:ind w:left="960"/>
      </w:pPr>
      <w:r>
        <w:rPr>
          <w:rFonts w:hint="eastAsia"/>
        </w:rPr>
        <w:t>（4）</w:t>
      </w:r>
      <w:r>
        <w:t>灵石</w:t>
      </w:r>
      <w:r>
        <w:rPr>
          <w:rFonts w:hint="eastAsia"/>
        </w:rPr>
        <w:t>县城</w:t>
      </w:r>
    </w:p>
    <w:p>
      <w:pPr>
        <w:spacing w:before="156"/>
      </w:pPr>
      <w:r>
        <w:t>灵石县域政治、经济</w:t>
      </w:r>
      <w:r>
        <w:rPr>
          <w:rFonts w:hint="eastAsia"/>
        </w:rPr>
        <w:t>、文化</w:t>
      </w:r>
      <w:r>
        <w:t>中心</w:t>
      </w:r>
      <w:r>
        <w:rPr>
          <w:rFonts w:hint="eastAsia"/>
        </w:rPr>
        <w:t>；</w:t>
      </w:r>
      <w:r>
        <w:t>晋中市南部门户</w:t>
      </w:r>
      <w:r>
        <w:rPr>
          <w:rFonts w:hint="eastAsia"/>
        </w:rPr>
        <w:t>，中国知名的晋商文化旅游区，循环经济发展示范区。按照“一城两区”架构县城功能，其中，翠峰区是县域政治、经济中心，晋中市南部门户，新型工业区及旅游服务基地，以发展物流、商贸服务业为主；静升区是县域文化教育中心，旅游中心及旅游服务基地。</w:t>
      </w:r>
    </w:p>
    <w:p>
      <w:pPr>
        <w:spacing w:before="156"/>
      </w:pPr>
      <w:r>
        <w:t>以能源和煤化工基地建设为动力，</w:t>
      </w:r>
      <w:r>
        <w:rPr>
          <w:rFonts w:hint="eastAsia"/>
        </w:rPr>
        <w:t>发展循环经济。</w:t>
      </w:r>
      <w:r>
        <w:t>进一步完善供热、供气、供电、交通等基础设施建设，强化教育、医疗、卫生、就业、文化、体育等服务功能，改善旅游、人居环境，加快静升新区的开发与建设，建设全国文明景区和优秀旅游城市。</w:t>
      </w:r>
    </w:p>
    <w:p>
      <w:pPr>
        <w:spacing w:before="156"/>
      </w:pPr>
      <w:r>
        <w:rPr>
          <w:rFonts w:hint="eastAsia"/>
        </w:rPr>
        <w:t>规划2030年灵石县城的人口规模为10-20万人，城市</w:t>
      </w:r>
      <w:r>
        <w:t>人均建设用地控制在</w:t>
      </w:r>
      <w:r>
        <w:rPr>
          <w:rFonts w:hint="eastAsia"/>
        </w:rPr>
        <w:t>100</w:t>
      </w:r>
      <w:r>
        <w:t>平方米以内</w:t>
      </w:r>
      <w:r>
        <w:rPr>
          <w:rFonts w:hint="eastAsia"/>
        </w:rPr>
        <w:t>。</w:t>
      </w:r>
    </w:p>
    <w:p>
      <w:pPr>
        <w:pStyle w:val="131"/>
        <w:spacing w:before="156"/>
        <w:ind w:left="960"/>
      </w:pPr>
      <w:r>
        <w:rPr>
          <w:rFonts w:hint="eastAsia"/>
        </w:rPr>
        <w:t>（5）</w:t>
      </w:r>
      <w:r>
        <w:t>祁县县城</w:t>
      </w:r>
    </w:p>
    <w:p>
      <w:pPr>
        <w:spacing w:before="156"/>
      </w:pPr>
      <w:r>
        <w:t>国家历史文化名城，县域政治、经济、文化中心，以轻工、精细化工、旅游服务业、农副产品加工为主的现代化小城市。</w:t>
      </w:r>
    </w:p>
    <w:p>
      <w:pPr>
        <w:spacing w:before="156"/>
      </w:pPr>
      <w:r>
        <w:rPr>
          <w:rFonts w:hint="eastAsia"/>
        </w:rPr>
        <w:t>立足民营经济优势，打造“轻工业产业之城、区域性旅游目的地”，形成以晋商文化为特色的旅游业，以玻璃制品、文化旅游、食品加工为主的产业体系，建设成为全国玻璃器皿生产出口基地，省级现代农业示范区。</w:t>
      </w:r>
    </w:p>
    <w:p>
      <w:pPr>
        <w:spacing w:before="156"/>
      </w:pPr>
      <w:r>
        <w:rPr>
          <w:rFonts w:hint="eastAsia"/>
        </w:rPr>
        <w:t>规划2030年祁县县城的人口规模为10-20万人，城市</w:t>
      </w:r>
      <w:r>
        <w:t>人均建设用地控制在</w:t>
      </w:r>
      <w:r>
        <w:rPr>
          <w:rFonts w:hint="eastAsia"/>
        </w:rPr>
        <w:t>100</w:t>
      </w:r>
      <w:r>
        <w:t>平方米以内</w:t>
      </w:r>
      <w:r>
        <w:rPr>
          <w:rFonts w:hint="eastAsia"/>
        </w:rPr>
        <w:t>。</w:t>
      </w:r>
    </w:p>
    <w:p>
      <w:pPr>
        <w:pStyle w:val="131"/>
        <w:spacing w:before="156"/>
        <w:ind w:left="960"/>
      </w:pPr>
      <w:r>
        <w:rPr>
          <w:rFonts w:hint="eastAsia"/>
        </w:rPr>
        <w:t>（6）</w:t>
      </w:r>
      <w:r>
        <w:t>寿阳县城</w:t>
      </w:r>
    </w:p>
    <w:p>
      <w:pPr>
        <w:spacing w:before="156"/>
      </w:pPr>
      <w:r>
        <w:t>山西省新型能源和工业基地</w:t>
      </w:r>
      <w:r>
        <w:rPr>
          <w:rFonts w:hint="eastAsia"/>
        </w:rPr>
        <w:t>的</w:t>
      </w:r>
      <w:r>
        <w:t>重要组成，农副产品加工和物流储运重镇，晋中东部环境友好的特色园林城市。</w:t>
      </w:r>
    </w:p>
    <w:p>
      <w:pPr>
        <w:spacing w:before="156"/>
      </w:pPr>
      <w:r>
        <w:rPr>
          <w:rFonts w:hint="eastAsia"/>
        </w:rPr>
        <w:t>规划2030年寿阳县城的人口规模为5-10万人，城市</w:t>
      </w:r>
      <w:r>
        <w:t>人均建设用地控制在</w:t>
      </w:r>
      <w:r>
        <w:rPr>
          <w:rFonts w:hint="eastAsia"/>
        </w:rPr>
        <w:t>100</w:t>
      </w:r>
      <w:r>
        <w:t>平方米以内</w:t>
      </w:r>
      <w:r>
        <w:rPr>
          <w:rFonts w:hint="eastAsia"/>
        </w:rPr>
        <w:t>。</w:t>
      </w:r>
    </w:p>
    <w:p>
      <w:pPr>
        <w:pStyle w:val="131"/>
        <w:spacing w:before="156"/>
        <w:ind w:left="960"/>
      </w:pPr>
      <w:r>
        <w:rPr>
          <w:rFonts w:hint="eastAsia"/>
        </w:rPr>
        <w:t>（7）</w:t>
      </w:r>
      <w:r>
        <w:t>昔阳县城</w:t>
      </w:r>
    </w:p>
    <w:p>
      <w:pPr>
        <w:spacing w:before="156"/>
      </w:pPr>
      <w:r>
        <w:rPr>
          <w:rFonts w:hint="eastAsia"/>
        </w:rPr>
        <w:t>以红色旅游为特色的旅游城市，山西省重要的煤电气化一体产业区和农副产品加工基地，县域公共服务中心，精品宜居小城市。</w:t>
      </w:r>
    </w:p>
    <w:p>
      <w:pPr>
        <w:spacing w:before="156"/>
      </w:pPr>
      <w:r>
        <w:rPr>
          <w:rFonts w:hint="eastAsia"/>
        </w:rPr>
        <w:t>全力提升城区商贸、物流、旅游、文化教育等现代服务业，建设以红色旅游为主题，以农业观光游、自然风光游为辅助的特色旅游地。综合利用煤炭资源，推动阳煤投资的煤电气化一体产业发展区的建设成型。梳理城市山水，营造特色公共空间，将昔阳建设成为产业发达、设施完善、环境优美、特色鲜明的宜居精品城市。</w:t>
      </w:r>
    </w:p>
    <w:p>
      <w:pPr>
        <w:spacing w:before="156"/>
      </w:pPr>
      <w:r>
        <w:rPr>
          <w:rFonts w:hint="eastAsia"/>
        </w:rPr>
        <w:t>规划2030年昔阳县城的人口规模为5-10万人，城市</w:t>
      </w:r>
      <w:r>
        <w:t>人均建设用地控制在</w:t>
      </w:r>
      <w:r>
        <w:rPr>
          <w:rFonts w:hint="eastAsia"/>
        </w:rPr>
        <w:t>100</w:t>
      </w:r>
      <w:r>
        <w:t>平方米以内</w:t>
      </w:r>
      <w:r>
        <w:rPr>
          <w:rFonts w:hint="eastAsia"/>
        </w:rPr>
        <w:t>。</w:t>
      </w:r>
    </w:p>
    <w:p>
      <w:pPr>
        <w:pStyle w:val="131"/>
        <w:spacing w:before="156"/>
        <w:ind w:left="960"/>
      </w:pPr>
      <w:r>
        <w:rPr>
          <w:rFonts w:hint="eastAsia"/>
        </w:rPr>
        <w:t>（8）</w:t>
      </w:r>
      <w:r>
        <w:t>和顺县城</w:t>
      </w:r>
    </w:p>
    <w:p>
      <w:pPr>
        <w:spacing w:before="156"/>
      </w:pPr>
      <w:r>
        <w:t>和顺县政治、经济、文化、信息中心</w:t>
      </w:r>
      <w:r>
        <w:rPr>
          <w:rFonts w:hint="eastAsia"/>
        </w:rPr>
        <w:t>，</w:t>
      </w:r>
      <w:r>
        <w:t>以煤炭化工、建材、商贸服务业、旅游业为主导产业的生态园林式小城市。</w:t>
      </w:r>
    </w:p>
    <w:p>
      <w:pPr>
        <w:spacing w:before="156"/>
      </w:pPr>
      <w:r>
        <w:rPr>
          <w:rFonts w:hint="eastAsia"/>
        </w:rPr>
        <w:t>规划2030年和顺县城的人口规模为5-10万人，城市</w:t>
      </w:r>
      <w:r>
        <w:t>人均建设用地控制在</w:t>
      </w:r>
      <w:r>
        <w:rPr>
          <w:rFonts w:hint="eastAsia"/>
        </w:rPr>
        <w:t>100</w:t>
      </w:r>
      <w:r>
        <w:t>平方米以内</w:t>
      </w:r>
      <w:r>
        <w:rPr>
          <w:rFonts w:hint="eastAsia"/>
        </w:rPr>
        <w:t>。</w:t>
      </w:r>
    </w:p>
    <w:p>
      <w:pPr>
        <w:pStyle w:val="131"/>
        <w:spacing w:before="156"/>
        <w:ind w:left="960"/>
      </w:pPr>
      <w:r>
        <w:rPr>
          <w:rFonts w:hint="eastAsia"/>
        </w:rPr>
        <w:t>（9）</w:t>
      </w:r>
      <w:r>
        <w:t>左权县城</w:t>
      </w:r>
    </w:p>
    <w:p>
      <w:pPr>
        <w:spacing w:before="156"/>
      </w:pPr>
      <w:r>
        <w:rPr>
          <w:rFonts w:hint="eastAsia"/>
        </w:rPr>
        <w:t>全国知名的红色革命景区；晋中重要的清洁能源基地；山西省重要的农副产品加工基地；县域政治、经济、文化、交通、物流中心。</w:t>
      </w:r>
    </w:p>
    <w:p>
      <w:pPr>
        <w:spacing w:before="156"/>
      </w:pPr>
      <w:r>
        <w:t>着力构建</w:t>
      </w:r>
      <w:r>
        <w:rPr>
          <w:rFonts w:hint="eastAsia"/>
        </w:rPr>
        <w:t>红色革命特色</w:t>
      </w:r>
      <w:r>
        <w:t>旅游</w:t>
      </w:r>
      <w:r>
        <w:rPr>
          <w:rFonts w:hint="eastAsia"/>
        </w:rPr>
        <w:t>，加强旅游服务设施的建设。加快传统产业转型升级，以华能电厂为主导，带动煤电建材和煤电化工循环经济产业链发展。发展绿色农业，建成以小杂粮和核桃生产加工为特色的农产品加工基地，并发展林果业专门化的“物流”基地。加强基本公共服务设施建设，改善人居环境，建设特色鲜明、生态宜居的太行山滨水生态城市。</w:t>
      </w:r>
    </w:p>
    <w:p>
      <w:pPr>
        <w:spacing w:before="156"/>
      </w:pPr>
      <w:r>
        <w:rPr>
          <w:rFonts w:hint="eastAsia"/>
        </w:rPr>
        <w:t>规划2030年左权县城的人口规模为5-10万人，城市</w:t>
      </w:r>
      <w:r>
        <w:t>人均建设用地控制在</w:t>
      </w:r>
      <w:r>
        <w:rPr>
          <w:rFonts w:hint="eastAsia"/>
        </w:rPr>
        <w:t>100</w:t>
      </w:r>
      <w:r>
        <w:t>平方米以内</w:t>
      </w:r>
      <w:r>
        <w:rPr>
          <w:rFonts w:hint="eastAsia"/>
        </w:rPr>
        <w:t>。</w:t>
      </w:r>
    </w:p>
    <w:p>
      <w:pPr>
        <w:pStyle w:val="131"/>
        <w:spacing w:before="156"/>
        <w:ind w:left="960"/>
      </w:pPr>
      <w:r>
        <w:rPr>
          <w:rFonts w:hint="eastAsia"/>
        </w:rPr>
        <w:t>（10）</w:t>
      </w:r>
      <w:r>
        <w:t>榆社县城</w:t>
      </w:r>
    </w:p>
    <w:p>
      <w:pPr>
        <w:spacing w:before="156"/>
      </w:pPr>
      <w:r>
        <w:t>全县的政治、经济、文化中心，发展以化工、电力、医药和农副产品加工</w:t>
      </w:r>
      <w:r>
        <w:rPr>
          <w:rFonts w:hint="eastAsia"/>
        </w:rPr>
        <w:t>为主的产业体系。</w:t>
      </w:r>
    </w:p>
    <w:p>
      <w:pPr>
        <w:spacing w:before="156"/>
      </w:pPr>
      <w:r>
        <w:rPr>
          <w:rFonts w:hint="eastAsia"/>
        </w:rPr>
        <w:t>立足自然优势，着力打造山水生态城市，</w:t>
      </w:r>
      <w:r>
        <w:t>建成商贸繁荣、交通便利、环境优美的新兴现代化生态型城镇。</w:t>
      </w:r>
    </w:p>
    <w:p>
      <w:pPr>
        <w:spacing w:before="156"/>
      </w:pPr>
      <w:r>
        <w:rPr>
          <w:rFonts w:hint="eastAsia"/>
        </w:rPr>
        <w:t>规划2030年榆社县城的人口规模为5-10万人，城市</w:t>
      </w:r>
      <w:r>
        <w:t>人均建设用地控制在</w:t>
      </w:r>
      <w:r>
        <w:rPr>
          <w:rFonts w:hint="eastAsia"/>
        </w:rPr>
        <w:t>100</w:t>
      </w:r>
      <w:r>
        <w:t>平方米以内</w:t>
      </w:r>
      <w:r>
        <w:rPr>
          <w:rFonts w:hint="eastAsia"/>
        </w:rPr>
        <w:t>。</w:t>
      </w:r>
    </w:p>
    <w:p>
      <w:pPr>
        <w:pStyle w:val="4"/>
        <w:tabs>
          <w:tab w:val="left" w:pos="993"/>
          <w:tab w:val="clear" w:pos="1260"/>
        </w:tabs>
        <w:spacing w:beforeLines="0" w:after="260" w:line="416" w:lineRule="auto"/>
        <w:ind w:left="851" w:hanging="834"/>
      </w:pPr>
      <w:r>
        <w:rPr>
          <w:rFonts w:hint="eastAsia"/>
        </w:rPr>
        <w:t>城乡建设用地标准</w:t>
      </w:r>
    </w:p>
    <w:p>
      <w:pPr>
        <w:pStyle w:val="131"/>
        <w:spacing w:before="156"/>
        <w:ind w:left="960"/>
      </w:pPr>
      <w:r>
        <w:rPr>
          <w:rFonts w:hint="eastAsia"/>
        </w:rPr>
        <w:t>（1）中心城镇建设标准</w:t>
      </w:r>
    </w:p>
    <w:p>
      <w:pPr>
        <w:spacing w:before="156"/>
      </w:pPr>
      <w:r>
        <w:rPr>
          <w:rFonts w:hint="eastAsia"/>
        </w:rPr>
        <w:t>市域中心城市和县域中心城镇</w:t>
      </w:r>
      <w:r>
        <w:t>人均建设用地控制在</w:t>
      </w:r>
      <w:r>
        <w:rPr>
          <w:rFonts w:hint="eastAsia"/>
        </w:rPr>
        <w:t>105</w:t>
      </w:r>
      <w:r>
        <w:t>平方米以内</w:t>
      </w:r>
      <w:r>
        <w:rPr>
          <w:rFonts w:hint="eastAsia"/>
        </w:rPr>
        <w:t>，城市建设用地规模通过城市人口规模和人均建设用地指标进行控制。配建</w:t>
      </w:r>
      <w:r>
        <w:t>市政基础设施和公共服务设施建设标准执行相</w:t>
      </w:r>
      <w:r>
        <w:rPr>
          <w:rFonts w:hint="eastAsia"/>
        </w:rPr>
        <w:t>关</w:t>
      </w:r>
      <w:r>
        <w:t>的国家</w:t>
      </w:r>
      <w:r>
        <w:rPr>
          <w:rFonts w:hint="eastAsia"/>
        </w:rPr>
        <w:t>、山西省、晋中市</w:t>
      </w:r>
      <w:r>
        <w:t>技术规范</w:t>
      </w:r>
      <w:r>
        <w:rPr>
          <w:rFonts w:hint="eastAsia"/>
        </w:rPr>
        <w:t>规定</w:t>
      </w:r>
      <w:r>
        <w:t>。</w:t>
      </w:r>
    </w:p>
    <w:p>
      <w:pPr>
        <w:pStyle w:val="131"/>
        <w:spacing w:before="156"/>
        <w:ind w:left="960"/>
      </w:pPr>
      <w:r>
        <w:rPr>
          <w:rFonts w:hint="eastAsia"/>
        </w:rPr>
        <w:t>（2）重点镇建设标准</w:t>
      </w:r>
    </w:p>
    <w:p>
      <w:pPr>
        <w:spacing w:before="156"/>
      </w:pPr>
      <w:r>
        <w:t>人均城镇建设用地应控制在</w:t>
      </w:r>
      <w:r>
        <w:rPr>
          <w:rFonts w:hint="eastAsia"/>
        </w:rPr>
        <w:t>110</w:t>
      </w:r>
      <w:r>
        <w:t>平方米</w:t>
      </w:r>
      <w:r>
        <w:rPr>
          <w:rFonts w:hint="eastAsia"/>
        </w:rPr>
        <w:t>以内，城镇建设用地规模通过城镇人口规模和人均建设用地指标进行控制。配建</w:t>
      </w:r>
      <w:r>
        <w:t>公共服务设施</w:t>
      </w:r>
      <w:r>
        <w:rPr>
          <w:rFonts w:hint="eastAsia"/>
        </w:rPr>
        <w:t>的建设</w:t>
      </w:r>
      <w:r>
        <w:t>规模</w:t>
      </w:r>
      <w:r>
        <w:rPr>
          <w:rFonts w:hint="eastAsia"/>
        </w:rPr>
        <w:t>和标准应充分考虑</w:t>
      </w:r>
      <w:r>
        <w:t>服务本镇及周边乡镇</w:t>
      </w:r>
      <w:r>
        <w:rPr>
          <w:rFonts w:hint="eastAsia"/>
        </w:rPr>
        <w:t>地区</w:t>
      </w:r>
      <w:r>
        <w:t>。</w:t>
      </w:r>
    </w:p>
    <w:p>
      <w:pPr>
        <w:pStyle w:val="131"/>
        <w:spacing w:before="156"/>
        <w:ind w:left="960"/>
      </w:pPr>
      <w:r>
        <w:rPr>
          <w:rFonts w:hint="eastAsia"/>
        </w:rPr>
        <w:t>（3）一般建制镇建设标准</w:t>
      </w:r>
    </w:p>
    <w:p>
      <w:pPr>
        <w:spacing w:before="156"/>
      </w:pPr>
      <w:r>
        <w:t>人均城镇建设用地应控制在</w:t>
      </w:r>
      <w:r>
        <w:rPr>
          <w:rFonts w:hint="eastAsia"/>
        </w:rPr>
        <w:t>110</w:t>
      </w:r>
      <w:r>
        <w:t>平方米以内</w:t>
      </w:r>
      <w:r>
        <w:rPr>
          <w:rFonts w:hint="eastAsia"/>
        </w:rPr>
        <w:t>，城镇建设用地规模通过城镇人口规模和人均建设用地指标进行控制。</w:t>
      </w:r>
      <w:r>
        <w:t>镇区基础设施配建标准应</w:t>
      </w:r>
      <w:r>
        <w:rPr>
          <w:rFonts w:hint="eastAsia"/>
        </w:rPr>
        <w:t>能够</w:t>
      </w:r>
      <w:r>
        <w:t>满足本镇基本生产、生活</w:t>
      </w:r>
      <w:r>
        <w:rPr>
          <w:rFonts w:hint="eastAsia"/>
        </w:rPr>
        <w:t>需要</w:t>
      </w:r>
      <w:r>
        <w:t>。</w:t>
      </w:r>
    </w:p>
    <w:p>
      <w:pPr>
        <w:pStyle w:val="131"/>
        <w:spacing w:before="156"/>
        <w:ind w:left="960"/>
      </w:pPr>
      <w:r>
        <w:rPr>
          <w:rFonts w:hint="eastAsia"/>
        </w:rPr>
        <w:t>（4）农村建设标准</w:t>
      </w:r>
    </w:p>
    <w:p>
      <w:pPr>
        <w:spacing w:before="156"/>
      </w:pPr>
      <w:r>
        <w:rPr>
          <w:rFonts w:hint="eastAsia"/>
        </w:rPr>
        <w:t>山区或丘陵地区的村庄，人均规划建设用地指标130—150平方米；平原地区的村庄，人均规划建设用地指标120—140平方米。公共设施的配套水平与村庄人口规模相适应。</w:t>
      </w:r>
    </w:p>
    <w:p>
      <w:pPr>
        <w:spacing w:before="156"/>
      </w:pPr>
    </w:p>
    <w:p>
      <w:pPr>
        <w:pStyle w:val="3"/>
        <w:spacing w:before="156" w:after="156"/>
        <w:rPr>
          <w:rStyle w:val="52"/>
          <w:b w:val="0"/>
          <w:color w:val="auto"/>
          <w:u w:val="none"/>
        </w:rPr>
      </w:pPr>
      <w:bookmarkStart w:id="92" w:name="_Toc275417939"/>
      <w:bookmarkStart w:id="93" w:name="_Toc492850093"/>
      <w:bookmarkStart w:id="94" w:name="_Toc277459697"/>
      <w:bookmarkStart w:id="95" w:name="_Toc277460144"/>
      <w:bookmarkStart w:id="96" w:name="_Toc277460564"/>
      <w:bookmarkStart w:id="97" w:name="_Toc277460878"/>
      <w:bookmarkStart w:id="98" w:name="_Toc275418485"/>
      <w:bookmarkStart w:id="99" w:name="_Toc277460721"/>
      <w:bookmarkStart w:id="100" w:name="_Toc277460867"/>
      <w:bookmarkStart w:id="101" w:name="_Toc277459694"/>
      <w:bookmarkStart w:id="102" w:name="_Toc275418478"/>
      <w:bookmarkStart w:id="103" w:name="_Toc277460710"/>
      <w:bookmarkStart w:id="104" w:name="_Toc277460553"/>
      <w:bookmarkStart w:id="105" w:name="_Toc275417937"/>
      <w:bookmarkStart w:id="106" w:name="_Toc277460141"/>
      <w:r>
        <w:rPr>
          <w:rStyle w:val="52"/>
          <w:rFonts w:hint="eastAsia"/>
          <w:b w:val="0"/>
          <w:color w:val="auto"/>
          <w:u w:val="none"/>
        </w:rPr>
        <w:t>第四节 市域综合交通规划</w:t>
      </w:r>
      <w:bookmarkEnd w:id="92"/>
      <w:bookmarkEnd w:id="93"/>
      <w:bookmarkEnd w:id="94"/>
      <w:bookmarkEnd w:id="95"/>
      <w:bookmarkEnd w:id="96"/>
      <w:bookmarkEnd w:id="97"/>
      <w:bookmarkEnd w:id="98"/>
      <w:bookmarkEnd w:id="99"/>
    </w:p>
    <w:p>
      <w:pPr>
        <w:pStyle w:val="4"/>
        <w:tabs>
          <w:tab w:val="left" w:pos="993"/>
          <w:tab w:val="clear" w:pos="1260"/>
        </w:tabs>
        <w:spacing w:beforeLines="0" w:after="260" w:line="416" w:lineRule="auto"/>
        <w:ind w:left="851" w:hanging="834"/>
      </w:pPr>
      <w:bookmarkStart w:id="107" w:name="_Toc275418486"/>
      <w:bookmarkStart w:id="108" w:name="_Toc277460722"/>
      <w:bookmarkStart w:id="109" w:name="_Toc277460879"/>
      <w:bookmarkStart w:id="110" w:name="_Toc277460565"/>
      <w:r>
        <w:rPr>
          <w:rFonts w:hint="eastAsia"/>
        </w:rPr>
        <w:t>市域交通发展目标</w:t>
      </w:r>
      <w:bookmarkEnd w:id="107"/>
      <w:bookmarkEnd w:id="108"/>
      <w:bookmarkEnd w:id="109"/>
      <w:bookmarkEnd w:id="110"/>
    </w:p>
    <w:p>
      <w:pPr>
        <w:spacing w:before="156"/>
      </w:pPr>
      <w:r>
        <w:rPr>
          <w:rFonts w:hint="eastAsia"/>
        </w:rPr>
        <w:t>建立与晋中市域社会经济发展、空间布局相协调，运输组织合理、设施网络完善、枢纽衔接便捷、可持续发展的市域交通运输体系。支撑区域发展战略，服务市域内优质旅游资源，促进市域经济又好又快的发展。</w:t>
      </w:r>
    </w:p>
    <w:p>
      <w:pPr>
        <w:pStyle w:val="4"/>
        <w:tabs>
          <w:tab w:val="left" w:pos="993"/>
          <w:tab w:val="clear" w:pos="1260"/>
        </w:tabs>
        <w:spacing w:beforeLines="0" w:after="260" w:line="416" w:lineRule="auto"/>
        <w:ind w:left="851" w:hanging="834"/>
      </w:pPr>
      <w:bookmarkStart w:id="111" w:name="_Toc277460724"/>
      <w:bookmarkStart w:id="112" w:name="_Toc277460567"/>
      <w:bookmarkStart w:id="113" w:name="_Toc275418488"/>
      <w:bookmarkStart w:id="114" w:name="_Toc277460881"/>
      <w:r>
        <w:rPr>
          <w:rFonts w:hint="eastAsia"/>
        </w:rPr>
        <w:t>市域公路系统规划</w:t>
      </w:r>
      <w:bookmarkEnd w:id="111"/>
      <w:bookmarkEnd w:id="112"/>
      <w:bookmarkEnd w:id="113"/>
      <w:bookmarkEnd w:id="114"/>
    </w:p>
    <w:p>
      <w:pPr>
        <w:pStyle w:val="131"/>
        <w:spacing w:before="156"/>
        <w:ind w:left="960"/>
      </w:pPr>
      <w:r>
        <w:rPr>
          <w:rFonts w:hint="eastAsia"/>
        </w:rPr>
        <w:t>（1）高速公路系统</w:t>
      </w:r>
    </w:p>
    <w:p>
      <w:pPr>
        <w:spacing w:before="156"/>
      </w:pPr>
      <w:r>
        <w:rPr>
          <w:rFonts w:hint="eastAsia"/>
        </w:rPr>
        <w:t>市域高速公路系统规划形成“三纵三横一连一绕”的布局形态，于规划期末实现县县通高速公路。</w:t>
      </w:r>
    </w:p>
    <w:p>
      <w:pPr>
        <w:spacing w:before="156"/>
      </w:pPr>
      <w:r>
        <w:t xml:space="preserve"> “</w:t>
      </w:r>
      <w:r>
        <w:rPr>
          <w:rFonts w:hint="eastAsia"/>
        </w:rPr>
        <w:t>三纵”即大运高速、太长高速、大同—阳泉—长治高速；</w:t>
      </w:r>
    </w:p>
    <w:p>
      <w:pPr>
        <w:spacing w:before="156"/>
      </w:pPr>
      <w:r>
        <w:t xml:space="preserve"> “</w:t>
      </w:r>
      <w:r>
        <w:rPr>
          <w:rFonts w:hint="eastAsia"/>
        </w:rPr>
        <w:t>三横”即太旧高速、邢汾高速、榆次—昔阳—黄骅高速；</w:t>
      </w:r>
    </w:p>
    <w:p>
      <w:pPr>
        <w:spacing w:before="156"/>
      </w:pPr>
      <w:r>
        <w:t xml:space="preserve"> “</w:t>
      </w:r>
      <w:r>
        <w:rPr>
          <w:rFonts w:hint="eastAsia"/>
        </w:rPr>
        <w:t>一连”即榆祁高速（大运高速、太长高速、太旧高速、京昆高速间的连接线）；</w:t>
      </w:r>
    </w:p>
    <w:p>
      <w:pPr>
        <w:spacing w:before="156"/>
      </w:pPr>
      <w:r>
        <w:t xml:space="preserve"> “</w:t>
      </w:r>
      <w:r>
        <w:rPr>
          <w:rFonts w:hint="eastAsia"/>
        </w:rPr>
        <w:t>一绕”即由大运高速、榆祁高速北延伸线、榆祁</w:t>
      </w:r>
      <w:r>
        <w:t>-</w:t>
      </w:r>
      <w:r>
        <w:rPr>
          <w:rFonts w:hint="eastAsia"/>
        </w:rPr>
        <w:t>大运高速间联络线构成的环绕太原、晋中中心城区的高速公路环线。</w:t>
      </w:r>
    </w:p>
    <w:p>
      <w:pPr>
        <w:pStyle w:val="131"/>
        <w:spacing w:before="156"/>
        <w:ind w:left="960"/>
      </w:pPr>
      <w:r>
        <w:rPr>
          <w:rFonts w:hint="eastAsia"/>
        </w:rPr>
        <w:t>（2）国省干道系统</w:t>
      </w:r>
    </w:p>
    <w:p>
      <w:pPr>
        <w:spacing w:before="156"/>
      </w:pPr>
      <w:r>
        <w:rPr>
          <w:rFonts w:hint="eastAsia"/>
        </w:rPr>
        <w:t>完善国省道干线公路系统，形成“七射三纵三横”的干线公路网络。</w:t>
      </w:r>
    </w:p>
    <w:p>
      <w:pPr>
        <w:spacing w:before="156"/>
      </w:pPr>
      <w:r>
        <w:t xml:space="preserve"> “</w:t>
      </w:r>
      <w:r>
        <w:rPr>
          <w:rFonts w:hint="eastAsia"/>
        </w:rPr>
        <w:t>七射”即以晋中中心城区为中心，形成至寿阳（</w:t>
      </w:r>
      <w:r>
        <w:t>S216</w:t>
      </w:r>
      <w:r>
        <w:rPr>
          <w:rFonts w:hint="eastAsia"/>
        </w:rPr>
        <w:t>）、昔阳（</w:t>
      </w:r>
      <w:r>
        <w:t>G339</w:t>
      </w:r>
      <w:r>
        <w:rPr>
          <w:rFonts w:hint="eastAsia"/>
        </w:rPr>
        <w:t>）、和顺（</w:t>
      </w:r>
      <w:r>
        <w:t>S318</w:t>
      </w:r>
      <w:r>
        <w:rPr>
          <w:rFonts w:hint="eastAsia"/>
        </w:rPr>
        <w:t>）、左权（延伸</w:t>
      </w:r>
      <w:r>
        <w:t>S318</w:t>
      </w:r>
      <w:r>
        <w:rPr>
          <w:rFonts w:hint="eastAsia"/>
        </w:rPr>
        <w:t>）、榆社（</w:t>
      </w:r>
      <w:r>
        <w:t>S102</w:t>
      </w:r>
      <w:r>
        <w:rPr>
          <w:rFonts w:hint="eastAsia"/>
        </w:rPr>
        <w:t>）及至太谷、祁县、平遥、介休、灵石的</w:t>
      </w:r>
      <w:r>
        <w:t>G108</w:t>
      </w:r>
      <w:r>
        <w:rPr>
          <w:rFonts w:hint="eastAsia"/>
        </w:rPr>
        <w:t>、至清徐的</w:t>
      </w:r>
      <w:r>
        <w:t>G339/S316</w:t>
      </w:r>
      <w:r>
        <w:rPr>
          <w:rFonts w:hint="eastAsia"/>
        </w:rPr>
        <w:t>等的射线公路系统，建立晋中中心城区至所辖县城的直捷干线公路联系；</w:t>
      </w:r>
    </w:p>
    <w:p>
      <w:pPr>
        <w:spacing w:before="156"/>
      </w:pPr>
      <w:r>
        <w:t xml:space="preserve"> “</w:t>
      </w:r>
      <w:r>
        <w:rPr>
          <w:rFonts w:hint="eastAsia"/>
        </w:rPr>
        <w:t>三纵”即新建寿阳—榆社间的干线公路、衔接昔阳、和顺、左权的</w:t>
      </w:r>
      <w:r>
        <w:t>G207</w:t>
      </w:r>
      <w:r>
        <w:rPr>
          <w:rFonts w:hint="eastAsia"/>
        </w:rPr>
        <w:t>、衔接太原、祁县、长治的</w:t>
      </w:r>
      <w:r>
        <w:t>G208</w:t>
      </w:r>
      <w:r>
        <w:rPr>
          <w:rFonts w:hint="eastAsia"/>
        </w:rPr>
        <w:t>；</w:t>
      </w:r>
    </w:p>
    <w:p>
      <w:pPr>
        <w:spacing w:before="156"/>
      </w:pPr>
      <w:r>
        <w:t xml:space="preserve"> “</w:t>
      </w:r>
      <w:r>
        <w:rPr>
          <w:rFonts w:hint="eastAsia"/>
        </w:rPr>
        <w:t>三横”即文水—祁县—太谷—榆社—左权的联系公路</w:t>
      </w:r>
      <w:r>
        <w:t>G340</w:t>
      </w:r>
      <w:r>
        <w:rPr>
          <w:rFonts w:hint="eastAsia"/>
        </w:rPr>
        <w:t>、汾阳—平遥—榆社—和顺的联系公路、太原—寿阳—阳泉的联系公路</w:t>
      </w:r>
      <w:r>
        <w:t>G307</w:t>
      </w:r>
      <w:r>
        <w:rPr>
          <w:rFonts w:hint="eastAsia"/>
        </w:rPr>
        <w:t>。</w:t>
      </w:r>
    </w:p>
    <w:p>
      <w:pPr>
        <w:spacing w:before="156"/>
      </w:pPr>
      <w:r>
        <w:rPr>
          <w:rFonts w:hint="eastAsia"/>
        </w:rPr>
        <w:t>提高国省道干线公路技术标准，规划期末国道应达到一级公路标准，省道应达到二级以上标准。</w:t>
      </w:r>
    </w:p>
    <w:p>
      <w:pPr>
        <w:pStyle w:val="4"/>
        <w:tabs>
          <w:tab w:val="left" w:pos="900"/>
          <w:tab w:val="left" w:pos="993"/>
          <w:tab w:val="clear" w:pos="1260"/>
        </w:tabs>
        <w:spacing w:beforeLines="0" w:after="260" w:line="416" w:lineRule="auto"/>
        <w:ind w:left="851" w:hanging="834"/>
      </w:pPr>
      <w:bookmarkStart w:id="115" w:name="_Toc277460568"/>
      <w:bookmarkStart w:id="116" w:name="_Toc277460882"/>
      <w:bookmarkStart w:id="117" w:name="_Toc277460725"/>
      <w:bookmarkStart w:id="118" w:name="_Toc275418489"/>
      <w:r>
        <w:rPr>
          <w:rFonts w:hint="eastAsia"/>
        </w:rPr>
        <w:t>市域铁路系统规划</w:t>
      </w:r>
      <w:bookmarkEnd w:id="115"/>
      <w:bookmarkEnd w:id="116"/>
      <w:bookmarkEnd w:id="117"/>
      <w:bookmarkEnd w:id="118"/>
    </w:p>
    <w:p>
      <w:pPr>
        <w:spacing w:before="156"/>
      </w:pPr>
      <w:r>
        <w:rPr>
          <w:rFonts w:hint="eastAsia"/>
        </w:rPr>
        <w:t>推进干支铁路建设和扩能改造，在晋中市域形成由2条客运专线、4条干线铁路、4条地方铁路组成的铁路运输网络。</w:t>
      </w:r>
    </w:p>
    <w:p>
      <w:pPr>
        <w:pStyle w:val="131"/>
        <w:spacing w:before="156"/>
        <w:ind w:left="960"/>
        <w:rPr>
          <w:rFonts w:ascii="宋体" w:hAnsi="宋体"/>
        </w:rPr>
      </w:pPr>
      <w:r>
        <w:rPr>
          <w:rFonts w:hint="eastAsia" w:ascii="宋体" w:hAnsi="宋体"/>
        </w:rPr>
        <w:t>（1）客运专线：大西客专、太郑客专</w:t>
      </w:r>
    </w:p>
    <w:p>
      <w:pPr>
        <w:spacing w:before="156"/>
      </w:pPr>
      <w:r>
        <w:rPr>
          <w:rFonts w:hint="eastAsia"/>
        </w:rPr>
        <w:t>在晋中市域沿途设置晋中站、太谷西站、祁县东站、平遥东站、介休东站、灵石东站等6个客站。</w:t>
      </w:r>
    </w:p>
    <w:p>
      <w:pPr>
        <w:spacing w:before="156"/>
      </w:pPr>
      <w:r>
        <w:rPr>
          <w:rFonts w:hint="eastAsia"/>
        </w:rPr>
        <w:t>太郑客专太原至太谷段与大西客专共线运营，经太谷西站、榆社、长治等站点至郑州，形成太原至郑州高速铁路联系通道，相应提升晋中站、太谷西站区域可达性。</w:t>
      </w:r>
    </w:p>
    <w:p>
      <w:pPr>
        <w:pStyle w:val="131"/>
        <w:spacing w:before="156"/>
        <w:ind w:left="960"/>
        <w:rPr>
          <w:rFonts w:ascii="宋体" w:hAnsi="宋体"/>
        </w:rPr>
      </w:pPr>
      <w:r>
        <w:rPr>
          <w:rFonts w:hint="eastAsia" w:ascii="宋体" w:hAnsi="宋体"/>
        </w:rPr>
        <w:t>（3）干线铁路：太中银线、南同蒲线、石太线、太焦线</w:t>
      </w:r>
    </w:p>
    <w:p>
      <w:pPr>
        <w:spacing w:before="156"/>
      </w:pPr>
      <w:r>
        <w:rPr>
          <w:rFonts w:hint="eastAsia"/>
        </w:rPr>
        <w:t>在晋中市域形成“大”字型的铁路骨架，其中太中银线——石太线形成我国东西向主要的煤运通道。</w:t>
      </w:r>
    </w:p>
    <w:p>
      <w:pPr>
        <w:pStyle w:val="131"/>
        <w:spacing w:before="156"/>
        <w:ind w:left="960"/>
        <w:rPr>
          <w:rFonts w:ascii="宋体" w:hAnsi="宋体"/>
        </w:rPr>
      </w:pPr>
      <w:r>
        <w:rPr>
          <w:rFonts w:hint="eastAsia" w:ascii="宋体" w:hAnsi="宋体"/>
        </w:rPr>
        <w:t xml:space="preserve">（4）地方铁路：介西线、阳涉线、武左线、和顺——邢台线 </w:t>
      </w:r>
    </w:p>
    <w:p>
      <w:pPr>
        <w:spacing w:before="156"/>
      </w:pPr>
      <w:r>
        <w:rPr>
          <w:rFonts w:hint="eastAsia"/>
        </w:rPr>
        <w:t>提高地方铁路的网络性、功能性，保持与干线铁路的顺畅衔接。</w:t>
      </w:r>
    </w:p>
    <w:p>
      <w:pPr>
        <w:spacing w:before="156"/>
      </w:pPr>
      <w:r>
        <w:rPr>
          <w:rFonts w:hint="eastAsia"/>
        </w:rPr>
        <w:t>介西线：规划改造提升介西线，并延伸至汾阳与太中银铁路相连，形成晋中盆地城镇密集区铁路环线；</w:t>
      </w:r>
    </w:p>
    <w:p>
      <w:pPr>
        <w:spacing w:before="156"/>
      </w:pPr>
      <w:r>
        <w:rPr>
          <w:rFonts w:hint="eastAsia"/>
        </w:rPr>
        <w:t>阳涉线：北部衔接石太线，南部衔接邯长线；</w:t>
      </w:r>
    </w:p>
    <w:p>
      <w:pPr>
        <w:spacing w:before="156"/>
      </w:pPr>
      <w:r>
        <w:rPr>
          <w:rFonts w:hint="eastAsia"/>
        </w:rPr>
        <w:t>武左线：武墨线向东延长至左权，与阳涉线衔接；</w:t>
      </w:r>
    </w:p>
    <w:p>
      <w:pPr>
        <w:spacing w:before="156"/>
      </w:pPr>
      <w:r>
        <w:rPr>
          <w:rFonts w:hint="eastAsia"/>
        </w:rPr>
        <w:t>和顺——邢台线：规划修建和顺——邢台线，沟通武左线、阳涉线与京广线的联系。</w:t>
      </w:r>
    </w:p>
    <w:p>
      <w:pPr>
        <w:pStyle w:val="4"/>
        <w:tabs>
          <w:tab w:val="left" w:pos="993"/>
          <w:tab w:val="clear" w:pos="1260"/>
        </w:tabs>
        <w:spacing w:beforeLines="0" w:after="260" w:line="416" w:lineRule="auto"/>
        <w:ind w:left="851" w:hanging="834"/>
      </w:pPr>
      <w:bookmarkStart w:id="119" w:name="_Toc277460883"/>
      <w:bookmarkStart w:id="120" w:name="_Toc277460569"/>
      <w:bookmarkStart w:id="121" w:name="_Toc275418490"/>
      <w:bookmarkStart w:id="122" w:name="_Toc277460726"/>
      <w:r>
        <w:rPr>
          <w:rFonts w:hint="eastAsia"/>
        </w:rPr>
        <w:t>城际列车服务系统</w:t>
      </w:r>
      <w:bookmarkEnd w:id="119"/>
      <w:bookmarkEnd w:id="120"/>
      <w:bookmarkEnd w:id="121"/>
      <w:bookmarkEnd w:id="122"/>
    </w:p>
    <w:p>
      <w:pPr>
        <w:spacing w:before="156"/>
      </w:pPr>
      <w:r>
        <w:rPr>
          <w:rFonts w:hint="eastAsia"/>
        </w:rPr>
        <w:t>规划发挥铁路设施的富余运能和运输效率，形成晋中盆地城镇密集区城际列车运输系统，推进晋中盆地城镇密集区一体化发展。</w:t>
      </w:r>
    </w:p>
    <w:p>
      <w:pPr>
        <w:spacing w:before="156"/>
      </w:pPr>
      <w:r>
        <w:rPr>
          <w:rFonts w:hint="eastAsia"/>
        </w:rPr>
        <w:t>规划利用大西客专，开行太原站—太原南站—晋中站—太谷—祁县－平遥－介休—灵石的城际列车；</w:t>
      </w:r>
    </w:p>
    <w:p>
      <w:pPr>
        <w:spacing w:before="156"/>
      </w:pPr>
      <w:r>
        <w:rPr>
          <w:rFonts w:hint="eastAsia"/>
        </w:rPr>
        <w:t>规划发挥太中银线和介西线运输效率，开行太原站—太原南站—晋中站—清徐—交城－文水－汾阳—孝义—介休的城际列车。</w:t>
      </w:r>
    </w:p>
    <w:p>
      <w:pPr>
        <w:pStyle w:val="4"/>
        <w:tabs>
          <w:tab w:val="left" w:pos="993"/>
          <w:tab w:val="clear" w:pos="1260"/>
        </w:tabs>
        <w:spacing w:beforeLines="0" w:after="260" w:line="416" w:lineRule="auto"/>
        <w:ind w:left="851" w:hanging="834"/>
      </w:pPr>
      <w:r>
        <w:rPr>
          <w:rFonts w:hint="eastAsia"/>
        </w:rPr>
        <w:t>旅游交通集散组织</w:t>
      </w:r>
    </w:p>
    <w:p>
      <w:pPr>
        <w:spacing w:before="156"/>
      </w:pPr>
      <w:r>
        <w:rPr>
          <w:rFonts w:hint="eastAsia"/>
        </w:rPr>
        <w:t>建立太原—晋中一体化的旅游交通组织体系；在平遥古城、榆次老城建设旅游集散次中心，组织面向晋中市域景区的旅游客运网络，改善至主要景区的旅游交通条件，促进市域旅游业健康发展。</w:t>
      </w:r>
    </w:p>
    <w:p>
      <w:pPr>
        <w:spacing w:before="156"/>
      </w:pPr>
      <w:r>
        <w:rPr>
          <w:rFonts w:hint="eastAsia"/>
        </w:rPr>
        <w:t>依托平遥古城、榆次老城旅游集散中心的建设，有效利用大运高速—榆祁高速、大西客专，建设</w:t>
      </w:r>
      <w:r>
        <w:t>大运线晋商文化旅游带</w:t>
      </w:r>
      <w:r>
        <w:rPr>
          <w:rFonts w:hint="eastAsia"/>
        </w:rPr>
        <w:t>公铁复合型的旅游客运网络。</w:t>
      </w:r>
    </w:p>
    <w:p>
      <w:pPr>
        <w:spacing w:before="156"/>
      </w:pPr>
      <w:r>
        <w:rPr>
          <w:rFonts w:hint="eastAsia"/>
        </w:rPr>
        <w:t>依托平遥古城、榆次老城旅游集散中心，利用太旧高速、汾阳—邢台高速、阳泉—长治高速、太长高速，形成支撑</w:t>
      </w:r>
      <w:r>
        <w:t>南部山地休闲度假旅游带</w:t>
      </w:r>
      <w:r>
        <w:rPr>
          <w:rFonts w:hint="eastAsia"/>
        </w:rPr>
        <w:t>、</w:t>
      </w:r>
      <w:r>
        <w:t>207国道红色太行旅游带</w:t>
      </w:r>
      <w:r>
        <w:rPr>
          <w:rFonts w:hint="eastAsia"/>
        </w:rPr>
        <w:t>发展的旅游客运网络。</w:t>
      </w:r>
    </w:p>
    <w:p>
      <w:pPr>
        <w:pStyle w:val="3"/>
        <w:spacing w:before="156" w:after="156"/>
        <w:rPr>
          <w:rStyle w:val="52"/>
          <w:b w:val="0"/>
          <w:color w:val="auto"/>
          <w:u w:val="none"/>
        </w:rPr>
      </w:pPr>
      <w:bookmarkStart w:id="123" w:name="_Toc492850094"/>
      <w:r>
        <w:rPr>
          <w:rStyle w:val="52"/>
          <w:rFonts w:hint="eastAsia"/>
          <w:b w:val="0"/>
          <w:color w:val="auto"/>
          <w:u w:val="none"/>
        </w:rPr>
        <w:t>第五节 市域社会服务设施规划</w:t>
      </w:r>
      <w:bookmarkEnd w:id="123"/>
    </w:p>
    <w:p>
      <w:pPr>
        <w:pStyle w:val="4"/>
        <w:tabs>
          <w:tab w:val="left" w:pos="993"/>
          <w:tab w:val="clear" w:pos="1260"/>
        </w:tabs>
        <w:spacing w:before="312"/>
        <w:ind w:left="851" w:hanging="834"/>
      </w:pPr>
      <w:r>
        <w:rPr>
          <w:rFonts w:hint="eastAsia"/>
        </w:rPr>
        <w:t>总体目标</w:t>
      </w:r>
    </w:p>
    <w:p>
      <w:pPr>
        <w:spacing w:before="156"/>
      </w:pPr>
      <w:r>
        <w:rPr>
          <w:rFonts w:hint="eastAsia"/>
        </w:rPr>
        <w:t>按照中心城市、大县城、小城镇、新农村“四位一体”总框架的思路，形成覆盖全市域的以晋中中心城区为核心、县（市）城区为主体，重点镇、一般乡镇和村（社区）为基础的五级配置的开放型社会服务和社会管理设施网络体系。</w:t>
      </w:r>
    </w:p>
    <w:p>
      <w:pPr>
        <w:pStyle w:val="131"/>
        <w:spacing w:before="156"/>
        <w:ind w:left="960"/>
      </w:pPr>
      <w:r>
        <w:rPr>
          <w:rFonts w:hint="eastAsia"/>
        </w:rPr>
        <w:t>（1）强化中心城市，完善区域性服务功能</w:t>
      </w:r>
    </w:p>
    <w:p>
      <w:pPr>
        <w:spacing w:before="156"/>
      </w:pPr>
      <w:r>
        <w:rPr>
          <w:rFonts w:hint="eastAsia"/>
        </w:rPr>
        <w:t>完善中心城区服务功能，建设省内先进的博物馆、文化馆；高等教育（包括高等职业教育）、文体场馆和医疗设施应具有区域服务功能，形成完备的教育、文化、体育、医疗卫生、社会福利和行政管理设施体系，具有服务晋中市域和更大区域的能力。</w:t>
      </w:r>
    </w:p>
    <w:p>
      <w:pPr>
        <w:pStyle w:val="131"/>
        <w:spacing w:before="156"/>
        <w:ind w:left="960"/>
      </w:pPr>
      <w:r>
        <w:rPr>
          <w:rFonts w:hint="eastAsia"/>
        </w:rPr>
        <w:t>（2）提升县（市）城区功能，强化对县域的服务主体地位</w:t>
      </w:r>
    </w:p>
    <w:p>
      <w:pPr>
        <w:spacing w:before="156"/>
      </w:pPr>
      <w:r>
        <w:rPr>
          <w:rFonts w:hint="eastAsia"/>
        </w:rPr>
        <w:t>拥有完善的基础教育、文化、体育、医疗卫生、社会福利和行政管理设施，形成完善的具有县（市）域服务能力的社会服务设施体系</w:t>
      </w:r>
      <w:r>
        <w:t>，部分特色优势功能应具有更大的辐射范围</w:t>
      </w:r>
      <w:r>
        <w:rPr>
          <w:rFonts w:hint="eastAsia"/>
        </w:rPr>
        <w:t>。</w:t>
      </w:r>
    </w:p>
    <w:p>
      <w:pPr>
        <w:pStyle w:val="131"/>
        <w:spacing w:before="156"/>
        <w:ind w:left="960"/>
      </w:pPr>
      <w:r>
        <w:rPr>
          <w:rFonts w:hint="eastAsia"/>
        </w:rPr>
        <w:t>（3）积极培育重点镇，增强其服务农村的功能</w:t>
      </w:r>
    </w:p>
    <w:p>
      <w:pPr>
        <w:spacing w:before="156"/>
      </w:pPr>
      <w:r>
        <w:rPr>
          <w:rFonts w:hint="eastAsia"/>
        </w:rPr>
        <w:t>设置比较齐全的服务设施，包括农业科技服务、文化活动、医疗保健、计划生育服务、中小学教育和行政管理等社会服务设施，</w:t>
      </w:r>
      <w:r>
        <w:t>满足本镇一般性的社会生活需求</w:t>
      </w:r>
      <w:r>
        <w:rPr>
          <w:rFonts w:hint="eastAsia"/>
        </w:rPr>
        <w:t>，并对周边乡镇具有一定的服务功能。</w:t>
      </w:r>
    </w:p>
    <w:p>
      <w:pPr>
        <w:pStyle w:val="131"/>
        <w:spacing w:before="156"/>
        <w:ind w:left="960"/>
      </w:pPr>
      <w:r>
        <w:rPr>
          <w:rFonts w:hint="eastAsia"/>
        </w:rPr>
        <w:t>（4）完善一般乡镇功能</w:t>
      </w:r>
    </w:p>
    <w:p>
      <w:pPr>
        <w:spacing w:before="156"/>
      </w:pPr>
      <w:r>
        <w:rPr>
          <w:rFonts w:hint="eastAsia"/>
        </w:rPr>
        <w:t>配置文化站、卫生院、小学、防疫站等基本社会服务设施，满足本镇居民日常生活需要。</w:t>
      </w:r>
    </w:p>
    <w:p>
      <w:pPr>
        <w:pStyle w:val="131"/>
        <w:spacing w:before="156"/>
        <w:ind w:left="960"/>
      </w:pPr>
      <w:r>
        <w:rPr>
          <w:rFonts w:hint="eastAsia"/>
        </w:rPr>
        <w:t>（5）完善行政村（社区）基层服务体系</w:t>
      </w:r>
    </w:p>
    <w:p>
      <w:pPr>
        <w:spacing w:before="156"/>
      </w:pPr>
      <w:r>
        <w:rPr>
          <w:rFonts w:hint="eastAsia"/>
        </w:rPr>
        <w:t>加强村（社区）平台、组织、队伍建设，完善农村社区公共服务体系，促进基本公共服务的均等化。</w:t>
      </w:r>
    </w:p>
    <w:p>
      <w:pPr>
        <w:pStyle w:val="4"/>
        <w:tabs>
          <w:tab w:val="left" w:pos="993"/>
          <w:tab w:val="clear" w:pos="1260"/>
        </w:tabs>
        <w:spacing w:before="312"/>
        <w:ind w:left="851" w:hanging="834"/>
      </w:pPr>
      <w:r>
        <w:rPr>
          <w:rFonts w:hint="eastAsia"/>
        </w:rPr>
        <w:t>教育设施发展规划</w:t>
      </w:r>
    </w:p>
    <w:p>
      <w:pPr>
        <w:spacing w:before="156"/>
      </w:pPr>
      <w:r>
        <w:rPr>
          <w:rFonts w:hint="eastAsia"/>
        </w:rPr>
        <w:t>以晋中中心城区为重点，大力发展高等教育和职业教育。整合各县职业教育资源，进一步扩大职业中学的办学规模，依据各县实际情况建设县级职教中心。力争</w:t>
      </w:r>
      <w:r>
        <w:t>适龄青年高等教育入学率2020年达到40%左右，20</w:t>
      </w:r>
      <w:r>
        <w:rPr>
          <w:rFonts w:hint="eastAsia"/>
        </w:rPr>
        <w:t>3</w:t>
      </w:r>
      <w:r>
        <w:t>0年达到50%左右</w:t>
      </w:r>
      <w:r>
        <w:rPr>
          <w:rFonts w:hint="eastAsia"/>
        </w:rPr>
        <w:t>。</w:t>
      </w:r>
    </w:p>
    <w:p>
      <w:pPr>
        <w:spacing w:before="156"/>
      </w:pPr>
      <w:r>
        <w:rPr>
          <w:rFonts w:hint="eastAsia"/>
        </w:rPr>
        <w:t>县（市）城区要完善幼儿园、中小学、高中教育、成人教育等一系列教育设施，严格按照国家相关教育设施的规范和标准配建幼儿园和中小学，其中高中的配置应考虑为整个县（市）域服务。</w:t>
      </w:r>
    </w:p>
    <w:p>
      <w:pPr>
        <w:spacing w:before="156"/>
      </w:pPr>
      <w:r>
        <w:rPr>
          <w:rFonts w:hint="eastAsia"/>
        </w:rPr>
        <w:t>重点镇应设立高中、初中、小学及幼儿教育。一般乡镇应设置普通初中、小学、中心幼儿园；中心村应设置小学和幼儿园。</w:t>
      </w:r>
    </w:p>
    <w:p>
      <w:pPr>
        <w:spacing w:before="156"/>
      </w:pPr>
      <w:r>
        <w:rPr>
          <w:rFonts w:hint="eastAsia"/>
        </w:rPr>
        <w:t>完善农村义务教育管理体制，加大地方对农村教育的配套投入，合理调整农村学校布局。</w:t>
      </w:r>
    </w:p>
    <w:p>
      <w:pPr>
        <w:pStyle w:val="4"/>
        <w:tabs>
          <w:tab w:val="left" w:pos="993"/>
          <w:tab w:val="clear" w:pos="1260"/>
        </w:tabs>
        <w:spacing w:before="312"/>
        <w:ind w:left="851" w:hanging="834"/>
      </w:pPr>
      <w:bookmarkStart w:id="124" w:name="_Toc260235427"/>
      <w:bookmarkStart w:id="125" w:name="_Toc392237062"/>
      <w:bookmarkStart w:id="126" w:name="_Toc261593088"/>
      <w:r>
        <w:t>文化</w:t>
      </w:r>
      <w:r>
        <w:rPr>
          <w:rFonts w:hint="eastAsia"/>
        </w:rPr>
        <w:t>娱乐设施</w:t>
      </w:r>
      <w:r>
        <w:t>发展规划</w:t>
      </w:r>
      <w:bookmarkEnd w:id="124"/>
      <w:bookmarkEnd w:id="125"/>
      <w:bookmarkEnd w:id="126"/>
    </w:p>
    <w:p>
      <w:pPr>
        <w:spacing w:before="156"/>
      </w:pPr>
      <w:r>
        <w:rPr>
          <w:rFonts w:hint="eastAsia"/>
        </w:rPr>
        <w:t>中心城区</w:t>
      </w:r>
      <w:r>
        <w:t>构建市级文化服务中心，建设国家达标、中西部地级城市一流、山西先进标准的图书馆、博物馆、文化艺术中心、青少年科技馆、会展中心、城市规划展览馆等大型文化设施，</w:t>
      </w:r>
      <w:r>
        <w:rPr>
          <w:rFonts w:hint="eastAsia"/>
        </w:rPr>
        <w:t>能承办山西甚至全国大型文化活动。各街道社区也应按照国家相关配套设施建设标准完善基层文化设施。</w:t>
      </w:r>
    </w:p>
    <w:p>
      <w:pPr>
        <w:spacing w:before="156"/>
      </w:pPr>
      <w:r>
        <w:rPr>
          <w:rFonts w:hint="eastAsia"/>
        </w:rPr>
        <w:t>县（市）城区应加强基层文化设施建设，搞好广播电台（站）和文化中心建设，新建或改扩建文化馆、图书馆、博物馆、老年活动中心、剧院、电影院等文化设施。有条件的地方争取建成文化中心。</w:t>
      </w:r>
    </w:p>
    <w:p>
      <w:pPr>
        <w:spacing w:before="156"/>
      </w:pPr>
      <w:r>
        <w:rPr>
          <w:rFonts w:hint="eastAsia"/>
        </w:rPr>
        <w:t>重点镇应建设公共图书馆、文化馆、老年活动中心或综合文化娱乐活动中心。一般乡镇应建设综合性文化站，</w:t>
      </w:r>
      <w:r>
        <w:t>建筑面积应大于300平方米，设有阅览室和电子阅览室。具有旅游</w:t>
      </w:r>
      <w:r>
        <w:rPr>
          <w:rFonts w:hint="eastAsia"/>
        </w:rPr>
        <w:t>功能和历史文化资源富集</w:t>
      </w:r>
      <w:r>
        <w:t>的</w:t>
      </w:r>
      <w:r>
        <w:rPr>
          <w:rFonts w:hint="eastAsia"/>
        </w:rPr>
        <w:t>乡</w:t>
      </w:r>
      <w:r>
        <w:t>镇应依托文化站加强保护</w:t>
      </w:r>
      <w:r>
        <w:rPr>
          <w:rFonts w:hint="eastAsia"/>
        </w:rPr>
        <w:t>宣传</w:t>
      </w:r>
      <w:r>
        <w:t>与</w:t>
      </w:r>
      <w:r>
        <w:rPr>
          <w:rFonts w:hint="eastAsia"/>
        </w:rPr>
        <w:t>保护</w:t>
      </w:r>
      <w:r>
        <w:t>知识普及工作。</w:t>
      </w:r>
    </w:p>
    <w:p>
      <w:pPr>
        <w:spacing w:before="156"/>
      </w:pPr>
      <w:r>
        <w:rPr>
          <w:rFonts w:hint="eastAsia"/>
        </w:rPr>
        <w:t>村庄可配置包括阅览室、活动室、科技咨询室、文化宣传栏等功能的综合性文化科技活动设施。</w:t>
      </w:r>
    </w:p>
    <w:p>
      <w:pPr>
        <w:pStyle w:val="4"/>
        <w:tabs>
          <w:tab w:val="left" w:pos="993"/>
          <w:tab w:val="clear" w:pos="1260"/>
        </w:tabs>
        <w:spacing w:before="312"/>
        <w:ind w:left="851" w:hanging="834"/>
      </w:pPr>
      <w:bookmarkStart w:id="127" w:name="_Toc392237063"/>
      <w:r>
        <w:rPr>
          <w:rFonts w:hint="eastAsia"/>
        </w:rPr>
        <w:t>体育设施发展规划</w:t>
      </w:r>
      <w:bookmarkEnd w:id="127"/>
    </w:p>
    <w:p>
      <w:pPr>
        <w:spacing w:before="156"/>
      </w:pPr>
      <w:r>
        <w:rPr>
          <w:rFonts w:hint="eastAsia"/>
        </w:rPr>
        <w:t>晋中中心城区新建、改造一批竞技体育设施，改扩建体育中心，包括标准</w:t>
      </w:r>
      <w:r>
        <w:t>田径场，游泳馆，室内体育馆、训练馆等</w:t>
      </w:r>
      <w:r>
        <w:rPr>
          <w:rFonts w:hint="eastAsia"/>
        </w:rPr>
        <w:t>，具备承办省和国家大型体育赛事的能力。加快社区体育设施建设，促进全民健身运动开展。</w:t>
      </w:r>
    </w:p>
    <w:p>
      <w:pPr>
        <w:spacing w:before="156"/>
      </w:pPr>
      <w:r>
        <w:rPr>
          <w:rFonts w:hint="eastAsia"/>
        </w:rPr>
        <w:t>介休副中心城市建设可服务于本市体育文化事业，又可与晋中中心城区配套承办省和国家大型体育运动单项赛事能力的体育中心。县城要建设包括体育场、体育馆及游泳池的综合性体育场馆及社区健身设施。</w:t>
      </w:r>
    </w:p>
    <w:p>
      <w:pPr>
        <w:spacing w:before="156"/>
      </w:pPr>
      <w:r>
        <w:rPr>
          <w:rFonts w:hint="eastAsia"/>
        </w:rPr>
        <w:t>重点镇拥有一处体育场馆设施，主要服务于周边群众。一般乡镇应设有运动及健身场地，主要服务于居民日常体育锻炼需要。</w:t>
      </w:r>
    </w:p>
    <w:p>
      <w:pPr>
        <w:spacing w:before="156"/>
      </w:pPr>
      <w:r>
        <w:t>加强农村体育</w:t>
      </w:r>
      <w:r>
        <w:rPr>
          <w:rFonts w:hint="eastAsia"/>
        </w:rPr>
        <w:t>文化</w:t>
      </w:r>
      <w:r>
        <w:t>事业的建设。以一村一“场地”为目标，继续加大全民健身设施的</w:t>
      </w:r>
      <w:r>
        <w:rPr>
          <w:rFonts w:hint="eastAsia"/>
        </w:rPr>
        <w:t>建设</w:t>
      </w:r>
      <w:r>
        <w:t>力度</w:t>
      </w:r>
      <w:r>
        <w:rPr>
          <w:rFonts w:hint="eastAsia"/>
        </w:rPr>
        <w:t>。</w:t>
      </w:r>
    </w:p>
    <w:p>
      <w:pPr>
        <w:pStyle w:val="4"/>
        <w:tabs>
          <w:tab w:val="left" w:pos="993"/>
          <w:tab w:val="clear" w:pos="1260"/>
        </w:tabs>
        <w:spacing w:before="312"/>
        <w:ind w:left="851" w:hanging="834"/>
      </w:pPr>
      <w:bookmarkStart w:id="128" w:name="_Toc261593089"/>
      <w:bookmarkStart w:id="129" w:name="_Toc260235428"/>
      <w:bookmarkStart w:id="130" w:name="_Toc392237064"/>
      <w:r>
        <w:t>医疗卫生</w:t>
      </w:r>
      <w:r>
        <w:rPr>
          <w:rFonts w:hint="eastAsia"/>
        </w:rPr>
        <w:t>设施</w:t>
      </w:r>
      <w:r>
        <w:t>发展规划</w:t>
      </w:r>
      <w:bookmarkEnd w:id="128"/>
      <w:bookmarkEnd w:id="129"/>
      <w:bookmarkEnd w:id="130"/>
    </w:p>
    <w:p>
      <w:pPr>
        <w:spacing w:before="156"/>
      </w:pPr>
      <w:r>
        <w:rPr>
          <w:rFonts w:hint="eastAsia"/>
        </w:rPr>
        <w:t>晋中中心城区和介休城区建成二</w:t>
      </w:r>
      <w:r>
        <w:rPr>
          <w:rFonts w:hint="eastAsia"/>
          <w:lang w:val="en-US" w:eastAsia="zh-CN"/>
        </w:rPr>
        <w:t>至</w:t>
      </w:r>
      <w:r>
        <w:rPr>
          <w:rFonts w:hint="eastAsia"/>
        </w:rPr>
        <w:t>三所三级甲等医院，重视对</w:t>
      </w:r>
      <w:r>
        <w:t>专科医院</w:t>
      </w:r>
      <w:r>
        <w:rPr>
          <w:rFonts w:hint="eastAsia"/>
        </w:rPr>
        <w:t>的合理配置</w:t>
      </w:r>
      <w:r>
        <w:t>。</w:t>
      </w:r>
      <w:r>
        <w:rPr>
          <w:rFonts w:hint="eastAsia"/>
        </w:rPr>
        <w:t>依托大型综合性医院及教研机构建设为全市医疗、预防、保健卫生服务和教学配套的区域医疗技术指导中心和医疗、教学、科研和人才培养的基地。</w:t>
      </w:r>
    </w:p>
    <w:p>
      <w:pPr>
        <w:spacing w:before="156"/>
      </w:pPr>
      <w:r>
        <w:rPr>
          <w:rFonts w:hint="eastAsia"/>
        </w:rPr>
        <w:t>县城建设二级综合性医院、医疗中心和妇幼保健院。各县部分二级医院应逐步调整服务功能，逐步转变成为慢性病医院、老年病医院、临终关怀医院、护理医院或康复等医院。大力发展</w:t>
      </w:r>
      <w:r>
        <w:t>社区</w:t>
      </w:r>
      <w:r>
        <w:rPr>
          <w:rFonts w:hint="eastAsia"/>
        </w:rPr>
        <w:t>医院，各城市一级医院转型为</w:t>
      </w:r>
      <w:r>
        <w:t>社区</w:t>
      </w:r>
      <w:r>
        <w:rPr>
          <w:rFonts w:hint="eastAsia"/>
        </w:rPr>
        <w:t>医院，形成“小病进</w:t>
      </w:r>
      <w:r>
        <w:t>社区</w:t>
      </w:r>
      <w:r>
        <w:rPr>
          <w:rFonts w:hint="eastAsia"/>
        </w:rPr>
        <w:t>医院、大病进综合医院”的医疗服务格局。</w:t>
      </w:r>
    </w:p>
    <w:p>
      <w:pPr>
        <w:spacing w:before="156"/>
      </w:pPr>
      <w:r>
        <w:rPr>
          <w:rFonts w:hint="eastAsia"/>
        </w:rPr>
        <w:t>重点镇建设中心卫生院，配置防疫站、妇幼保健站、血防站等设施，服务于本镇及周边乡镇普通疾病、常见病的诊治，提供医疗保健知识。一般乡镇配置卫生院、防疫站，血防站。</w:t>
      </w:r>
    </w:p>
    <w:p>
      <w:pPr>
        <w:spacing w:before="156"/>
      </w:pPr>
      <w:r>
        <w:rPr>
          <w:rFonts w:hint="eastAsia"/>
        </w:rPr>
        <w:t>村设置临时床位的卫生服务站，</w:t>
      </w:r>
      <w:r>
        <w:t>满足农民基本医疗和公共卫生服务的需要</w:t>
      </w:r>
      <w:r>
        <w:rPr>
          <w:rFonts w:hint="eastAsia"/>
        </w:rPr>
        <w:t>。</w:t>
      </w:r>
    </w:p>
    <w:p>
      <w:pPr>
        <w:pStyle w:val="3"/>
        <w:spacing w:before="156" w:after="156"/>
        <w:rPr>
          <w:rStyle w:val="52"/>
          <w:b w:val="0"/>
          <w:color w:val="auto"/>
          <w:u w:val="none"/>
        </w:rPr>
      </w:pPr>
      <w:bookmarkStart w:id="131" w:name="_Toc492850095"/>
      <w:r>
        <w:rPr>
          <w:rStyle w:val="52"/>
          <w:rFonts w:hint="eastAsia"/>
          <w:b w:val="0"/>
          <w:color w:val="auto"/>
          <w:u w:val="none"/>
        </w:rPr>
        <w:t>第六节 市域产业</w:t>
      </w:r>
      <w:bookmarkEnd w:id="100"/>
      <w:bookmarkEnd w:id="101"/>
      <w:bookmarkEnd w:id="102"/>
      <w:bookmarkEnd w:id="103"/>
      <w:bookmarkEnd w:id="104"/>
      <w:bookmarkEnd w:id="105"/>
      <w:bookmarkEnd w:id="106"/>
      <w:r>
        <w:rPr>
          <w:rStyle w:val="52"/>
          <w:rFonts w:hint="eastAsia"/>
          <w:b w:val="0"/>
          <w:color w:val="auto"/>
          <w:u w:val="none"/>
        </w:rPr>
        <w:t>空间布局规划</w:t>
      </w:r>
      <w:bookmarkEnd w:id="131"/>
    </w:p>
    <w:p>
      <w:pPr>
        <w:pStyle w:val="4"/>
        <w:tabs>
          <w:tab w:val="left" w:pos="993"/>
          <w:tab w:val="clear" w:pos="1260"/>
        </w:tabs>
        <w:spacing w:before="312"/>
        <w:ind w:left="851" w:hanging="834"/>
      </w:pPr>
      <w:bookmarkStart w:id="132" w:name="_Toc275418479"/>
      <w:bookmarkStart w:id="133" w:name="_Toc277460554"/>
      <w:bookmarkStart w:id="134" w:name="_Toc277460868"/>
      <w:bookmarkStart w:id="135" w:name="_Toc277460711"/>
      <w:r>
        <w:rPr>
          <w:rFonts w:hint="eastAsia"/>
        </w:rPr>
        <w:t>产业</w:t>
      </w:r>
      <w:bookmarkEnd w:id="132"/>
      <w:bookmarkEnd w:id="133"/>
      <w:bookmarkEnd w:id="134"/>
      <w:bookmarkEnd w:id="135"/>
      <w:r>
        <w:rPr>
          <w:rFonts w:hint="eastAsia"/>
        </w:rPr>
        <w:t>布局策略</w:t>
      </w:r>
    </w:p>
    <w:p>
      <w:pPr>
        <w:pStyle w:val="131"/>
        <w:spacing w:before="156"/>
        <w:ind w:left="960"/>
      </w:pPr>
      <w:r>
        <w:rPr>
          <w:rFonts w:hint="eastAsia"/>
        </w:rPr>
        <w:t>（1）晋中中心城区积极融入太晋核心</w:t>
      </w:r>
    </w:p>
    <w:p>
      <w:pPr>
        <w:spacing w:before="156"/>
      </w:pPr>
      <w:r>
        <w:rPr>
          <w:rFonts w:hint="eastAsia"/>
        </w:rPr>
        <w:t>积极融入太晋核心，以发展第三产业和高科技产业为主。加快传统服务业的改造和提升，重点发展现代物流、教育科研、休闲旅游、房地产、文化传媒、中介咨询、社区服务等现代服务业。依托已有基础，积极发展高新技术产业和先进制造业，重点发展汽车、液压、纺机等高端制造业，不断提高在全市的首位度。</w:t>
      </w:r>
    </w:p>
    <w:p>
      <w:pPr>
        <w:pStyle w:val="131"/>
        <w:spacing w:before="156"/>
        <w:ind w:left="960"/>
      </w:pPr>
      <w:r>
        <w:rPr>
          <w:rFonts w:hint="eastAsia"/>
        </w:rPr>
        <w:t>（2）促进区域产业合理分工和协同发展</w:t>
      </w:r>
    </w:p>
    <w:p>
      <w:pPr>
        <w:spacing w:before="156"/>
      </w:pPr>
      <w:r>
        <w:rPr>
          <w:rFonts w:hint="eastAsia"/>
        </w:rPr>
        <w:t>中心城区积极引进先进装备制造业和高新技术产业，大力发展城市经济。榆次、太谷、祁县、平遥重点发展旅游、机械加工、精密铸造、玻璃制品、食品、医药、轻纺等产业集群，建设国际旅游目的地和全省重要的装备制造基地。介休、灵石加快整合提升煤炭、焦化、冶金等传统产业。东山五县建设以煤电化和高载能产品为主的新型能源基地，推动东山经济带成为市域新的增长点。</w:t>
      </w:r>
    </w:p>
    <w:p>
      <w:pPr>
        <w:pStyle w:val="131"/>
        <w:spacing w:before="156"/>
        <w:ind w:left="960"/>
      </w:pPr>
      <w:r>
        <w:rPr>
          <w:rFonts w:hint="eastAsia"/>
        </w:rPr>
        <w:t>（3）</w:t>
      </w:r>
      <w:r>
        <w:t>结合</w:t>
      </w:r>
      <w:r>
        <w:rPr>
          <w:rFonts w:hint="eastAsia"/>
        </w:rPr>
        <w:t>城乡</w:t>
      </w:r>
      <w:r>
        <w:t>空间布局，</w:t>
      </w:r>
      <w:r>
        <w:rPr>
          <w:rFonts w:hint="eastAsia"/>
        </w:rPr>
        <w:t>统筹</w:t>
      </w:r>
      <w:r>
        <w:t>工业化</w:t>
      </w:r>
      <w:r>
        <w:rPr>
          <w:rFonts w:hint="eastAsia"/>
        </w:rPr>
        <w:t>与城镇化</w:t>
      </w:r>
    </w:p>
    <w:p>
      <w:pPr>
        <w:spacing w:before="156"/>
      </w:pPr>
      <w:r>
        <w:rPr>
          <w:rFonts w:hint="eastAsia"/>
        </w:rPr>
        <w:t>将</w:t>
      </w:r>
      <w:r>
        <w:t>工业布局与重点城镇和新区开发相结合，通过工业化引领城镇化，带动城市综合功能的完善和城镇的协调发展。</w:t>
      </w:r>
      <w:r>
        <w:rPr>
          <w:rFonts w:hint="eastAsia"/>
        </w:rPr>
        <w:t>坚持新型工业化和城市现代化统筹发展，工业向城市开发区集中，城市以服务经济为主，推动城市产业结构升级，提高城市现代化水平。</w:t>
      </w:r>
    </w:p>
    <w:p>
      <w:pPr>
        <w:pStyle w:val="4"/>
        <w:tabs>
          <w:tab w:val="left" w:pos="993"/>
          <w:tab w:val="clear" w:pos="1260"/>
        </w:tabs>
        <w:spacing w:before="312"/>
        <w:ind w:left="851" w:hanging="834"/>
      </w:pPr>
      <w:bookmarkStart w:id="136" w:name="_Toc277460555"/>
      <w:bookmarkStart w:id="137" w:name="_Toc275418480"/>
      <w:bookmarkStart w:id="138" w:name="_Toc277460712"/>
      <w:bookmarkStart w:id="139" w:name="_Toc277460869"/>
      <w:r>
        <w:rPr>
          <w:rFonts w:hint="eastAsia"/>
        </w:rPr>
        <w:t>产业空间布局</w:t>
      </w:r>
      <w:bookmarkEnd w:id="136"/>
      <w:bookmarkEnd w:id="137"/>
      <w:bookmarkEnd w:id="138"/>
      <w:bookmarkEnd w:id="139"/>
    </w:p>
    <w:p>
      <w:pPr>
        <w:spacing w:before="156"/>
      </w:pPr>
      <w:r>
        <w:rPr>
          <w:rFonts w:hint="eastAsia"/>
        </w:rPr>
        <w:t>市域产业发展形成“一带一轴四区”的格局。</w:t>
      </w:r>
    </w:p>
    <w:p>
      <w:pPr>
        <w:pStyle w:val="131"/>
        <w:spacing w:before="156"/>
        <w:ind w:left="960"/>
      </w:pPr>
      <w:r>
        <w:rPr>
          <w:rFonts w:hint="eastAsia"/>
        </w:rPr>
        <w:t>（1）一带</w:t>
      </w:r>
    </w:p>
    <w:p>
      <w:pPr>
        <w:spacing w:before="156"/>
      </w:pPr>
      <w:r>
        <w:rPr>
          <w:rFonts w:hint="eastAsia"/>
        </w:rPr>
        <w:t>一带即108国道综合产业发展带，是山西省城镇和社会经济发展的主轴，穿越晋中平川六区县，是晋中市域经济发展最好、经济要素最为集中、产业职能最为综合的发展地区。</w:t>
      </w:r>
    </w:p>
    <w:p>
      <w:pPr>
        <w:pStyle w:val="131"/>
        <w:spacing w:before="156"/>
        <w:ind w:left="960"/>
      </w:pPr>
      <w:r>
        <w:rPr>
          <w:rFonts w:hint="eastAsia"/>
        </w:rPr>
        <w:t>（2）一轴</w:t>
      </w:r>
    </w:p>
    <w:p>
      <w:pPr>
        <w:spacing w:before="156"/>
      </w:pPr>
      <w:r>
        <w:rPr>
          <w:rFonts w:hint="eastAsia"/>
        </w:rPr>
        <w:t>一轴即</w:t>
      </w:r>
      <w:r>
        <w:t>207</w:t>
      </w:r>
      <w:r>
        <w:rPr>
          <w:rFonts w:hint="eastAsia"/>
        </w:rPr>
        <w:t>国道能源产业发展轴，以寿阳、昔阳、榆社、左权、和顺等</w:t>
      </w:r>
      <w:r>
        <w:t>207</w:t>
      </w:r>
      <w:r>
        <w:rPr>
          <w:rFonts w:hint="eastAsia"/>
        </w:rPr>
        <w:t>国道及其延长线重点工业镇为主体，提升工业综合服务功能，形成高效、节能、环保的大型能源生产基地。</w:t>
      </w:r>
    </w:p>
    <w:p>
      <w:pPr>
        <w:pStyle w:val="131"/>
        <w:spacing w:before="156"/>
        <w:ind w:left="960"/>
      </w:pPr>
      <w:r>
        <w:rPr>
          <w:rFonts w:hint="eastAsia"/>
        </w:rPr>
        <w:t>（3）四区</w:t>
      </w:r>
    </w:p>
    <w:p>
      <w:pPr>
        <w:spacing w:before="156"/>
      </w:pPr>
      <w:r>
        <w:rPr>
          <w:rFonts w:hint="eastAsia"/>
        </w:rPr>
        <w:t>包括晋中市区现代服务业和先进制造业发展区、太祁平综合产业发展区、介灵煤焦化工产业发展区和东山新型能源产业发展区。</w:t>
      </w:r>
    </w:p>
    <w:p>
      <w:pPr>
        <w:pStyle w:val="4"/>
        <w:tabs>
          <w:tab w:val="left" w:pos="993"/>
          <w:tab w:val="clear" w:pos="1260"/>
        </w:tabs>
        <w:spacing w:before="312"/>
        <w:ind w:left="851" w:hanging="834"/>
      </w:pPr>
      <w:r>
        <w:rPr>
          <w:rFonts w:hint="eastAsia"/>
        </w:rPr>
        <w:t>重点产业园区建设</w:t>
      </w:r>
    </w:p>
    <w:p>
      <w:pPr>
        <w:pStyle w:val="131"/>
        <w:spacing w:before="156"/>
        <w:ind w:left="960"/>
      </w:pPr>
      <w:r>
        <w:rPr>
          <w:rFonts w:hint="eastAsia"/>
        </w:rPr>
        <w:t>（1）山西转型综改示范区晋中区</w:t>
      </w:r>
    </w:p>
    <w:p>
      <w:pPr>
        <w:spacing w:before="156"/>
      </w:pPr>
      <w:r>
        <w:rPr>
          <w:rFonts w:hint="eastAsia"/>
        </w:rPr>
        <w:t>控制面积223.8平方公里，大力发展现代物流/信息、高端智能制造、新能源汽车/新能源、新材料、医药健康、文化数字创意等战略性新兴产业。</w:t>
      </w:r>
    </w:p>
    <w:p>
      <w:pPr>
        <w:pStyle w:val="131"/>
        <w:spacing w:before="156"/>
        <w:ind w:left="960"/>
      </w:pPr>
      <w:r>
        <w:rPr>
          <w:rFonts w:hint="eastAsia"/>
        </w:rPr>
        <w:t>（2）祁县经济技术开发区</w:t>
      </w:r>
    </w:p>
    <w:p>
      <w:pPr>
        <w:spacing w:before="156"/>
      </w:pPr>
      <w:r>
        <w:rPr>
          <w:rFonts w:hint="eastAsia"/>
        </w:rPr>
        <w:t>控制面积</w:t>
      </w:r>
      <w:r>
        <w:t>31.9</w:t>
      </w:r>
      <w:r>
        <w:rPr>
          <w:rFonts w:hint="eastAsia"/>
        </w:rPr>
        <w:t>平方公里，依托乔家大院产业园，对玻璃器皿产业园和循环经济园进行深度整合，坚持与太原转型综改示范区错位互补发展，打造示范区的产业合作区，确立以“现代加工制造、新兴产业、文化旅游”为特色主导产业。</w:t>
      </w:r>
    </w:p>
    <w:p>
      <w:pPr>
        <w:pStyle w:val="131"/>
        <w:spacing w:before="156"/>
        <w:ind w:left="960"/>
      </w:pPr>
      <w:r>
        <w:rPr>
          <w:rFonts w:hint="eastAsia"/>
        </w:rPr>
        <w:t>（3）介休经济技术开发区</w:t>
      </w:r>
    </w:p>
    <w:p>
      <w:pPr>
        <w:spacing w:before="156"/>
      </w:pPr>
      <w:r>
        <w:rPr>
          <w:rFonts w:hint="eastAsia"/>
        </w:rPr>
        <w:t>控制面积39.47平方公里，优化化工循环经济园区，做强机械装备制造园，重点培育通用航空产业园，发展高端装备制造、新材料、新能源、节能环保、食品加工等新型产业。</w:t>
      </w:r>
    </w:p>
    <w:p>
      <w:pPr>
        <w:pStyle w:val="131"/>
        <w:spacing w:before="156"/>
        <w:ind w:left="960"/>
      </w:pPr>
      <w:r>
        <w:rPr>
          <w:rFonts w:hint="eastAsia"/>
        </w:rPr>
        <w:t>（4）太谷经济技术开发区</w:t>
      </w:r>
    </w:p>
    <w:p>
      <w:pPr>
        <w:spacing w:before="156"/>
      </w:pPr>
      <w:r>
        <w:rPr>
          <w:rFonts w:hint="eastAsia"/>
        </w:rPr>
        <w:t>控制面积24.78平方公里，重点发展以商贸物流、新材料为主导产业，辐射带动铸造产业、食品加工等多元化发展的现代产业体系。</w:t>
      </w:r>
    </w:p>
    <w:p>
      <w:pPr>
        <w:pStyle w:val="131"/>
        <w:spacing w:before="156"/>
        <w:ind w:left="960"/>
      </w:pPr>
      <w:r>
        <w:rPr>
          <w:rFonts w:hint="eastAsia"/>
        </w:rPr>
        <w:t>（5）山西”农谷”</w:t>
      </w:r>
    </w:p>
    <w:p>
      <w:pPr>
        <w:spacing w:before="156"/>
      </w:pPr>
      <w:r>
        <w:rPr>
          <w:rFonts w:hint="eastAsia"/>
        </w:rPr>
        <w:t>位于太谷县，重点落实《山西”农谷”建设总体规划（2017-</w:t>
      </w:r>
      <w:r>
        <w:t>2025年</w:t>
      </w:r>
      <w:r>
        <w:rPr>
          <w:rFonts w:hint="eastAsia"/>
        </w:rPr>
        <w:t>）》“一城三园五区”的总体布局，推动一二三产融合发展。</w:t>
      </w:r>
    </w:p>
    <w:p>
      <w:pPr>
        <w:pStyle w:val="131"/>
        <w:spacing w:before="156"/>
        <w:ind w:left="960"/>
      </w:pPr>
      <w:r>
        <w:rPr>
          <w:rFonts w:hint="eastAsia"/>
        </w:rPr>
        <w:t>（</w:t>
      </w:r>
      <w:r>
        <w:t>6</w:t>
      </w:r>
      <w:r>
        <w:rPr>
          <w:rFonts w:hint="eastAsia"/>
        </w:rPr>
        <w:t>）平遥文化旅游开发区</w:t>
      </w:r>
    </w:p>
    <w:p>
      <w:pPr>
        <w:spacing w:before="156"/>
      </w:pPr>
      <w:r>
        <w:rPr>
          <w:rFonts w:hint="eastAsia"/>
        </w:rPr>
        <w:t>控制面积36.3平方公里，依托平遥古城重点发展文化旅游创意产业，特色食品加工业和新型产业，大力发展生态休闲产业、生活性服务业、新型建材、高新材料、高端装备制造产业。</w:t>
      </w:r>
    </w:p>
    <w:p>
      <w:pPr>
        <w:pStyle w:val="131"/>
        <w:spacing w:before="156"/>
        <w:ind w:left="960"/>
      </w:pPr>
      <w:r>
        <w:rPr>
          <w:rFonts w:hint="eastAsia"/>
        </w:rPr>
        <w:t>（</w:t>
      </w:r>
      <w:r>
        <w:t>7</w:t>
      </w:r>
      <w:r>
        <w:rPr>
          <w:rFonts w:hint="eastAsia"/>
        </w:rPr>
        <w:t>）灵石经济技术开发区</w:t>
      </w:r>
    </w:p>
    <w:p>
      <w:pPr>
        <w:spacing w:before="156"/>
      </w:pPr>
      <w:r>
        <w:rPr>
          <w:rFonts w:hint="eastAsia"/>
        </w:rPr>
        <w:t>控制面积33平方公里，建立绿色高效富有特色的现代产业体系，以新型煤化工、新材料、新能源、现代物流、文化旅游为主要支柱产业。</w:t>
      </w:r>
    </w:p>
    <w:p>
      <w:pPr>
        <w:pStyle w:val="131"/>
        <w:spacing w:before="156"/>
        <w:ind w:left="960"/>
      </w:pPr>
      <w:r>
        <w:rPr>
          <w:rFonts w:hint="eastAsia"/>
        </w:rPr>
        <w:t>（</w:t>
      </w:r>
      <w:r>
        <w:t>8</w:t>
      </w:r>
      <w:r>
        <w:rPr>
          <w:rFonts w:hint="eastAsia"/>
        </w:rPr>
        <w:t>）昔阳经济技术开发区</w:t>
      </w:r>
    </w:p>
    <w:p>
      <w:pPr>
        <w:spacing w:before="156"/>
      </w:pPr>
      <w:r>
        <w:rPr>
          <w:rFonts w:hint="eastAsia"/>
        </w:rPr>
        <w:t>控制面积20平方公里，优先发展精细化工、新型树脂、新材料等新兴产业。</w:t>
      </w:r>
    </w:p>
    <w:p>
      <w:pPr>
        <w:pStyle w:val="131"/>
        <w:spacing w:before="156"/>
        <w:ind w:left="960"/>
      </w:pPr>
      <w:r>
        <w:rPr>
          <w:rFonts w:hint="eastAsia"/>
        </w:rPr>
        <w:t>（</w:t>
      </w:r>
      <w:r>
        <w:t>9</w:t>
      </w:r>
      <w:r>
        <w:rPr>
          <w:rFonts w:hint="eastAsia"/>
        </w:rPr>
        <w:t>）寿阳经济技术开发区</w:t>
      </w:r>
    </w:p>
    <w:p>
      <w:pPr>
        <w:spacing w:before="156"/>
      </w:pPr>
      <w:r>
        <w:rPr>
          <w:rFonts w:hint="eastAsia"/>
        </w:rPr>
        <w:t>控制面积20平方公里，大力发展农副产品加工、新能源、生物科技、仓储物流、煤电循环经济、现代农业、机械制造、新型材料等产业。</w:t>
      </w:r>
    </w:p>
    <w:p>
      <w:pPr>
        <w:pStyle w:val="131"/>
        <w:spacing w:before="156"/>
        <w:ind w:left="960"/>
      </w:pPr>
      <w:r>
        <w:rPr>
          <w:rFonts w:hint="eastAsia"/>
        </w:rPr>
        <w:t>（</w:t>
      </w:r>
      <w:r>
        <w:t>10</w:t>
      </w:r>
      <w:r>
        <w:rPr>
          <w:rFonts w:hint="eastAsia"/>
        </w:rPr>
        <w:t>）左权县生态旅游文化开发区</w:t>
      </w:r>
    </w:p>
    <w:p>
      <w:pPr>
        <w:spacing w:before="156"/>
      </w:pPr>
      <w:r>
        <w:t>控制面积</w:t>
      </w:r>
      <w:r>
        <w:rPr>
          <w:rFonts w:hint="eastAsia"/>
        </w:rPr>
        <w:t>400平方公里，</w:t>
      </w:r>
      <w:r>
        <w:t>依托太行山山水生态</w:t>
      </w:r>
      <w:r>
        <w:rPr>
          <w:rFonts w:hint="eastAsia"/>
        </w:rPr>
        <w:t>以及红色文化等旅游资源，重点发展乡村旅游、休闲度假、红色旅游康体养生等产业，形成创新引领、配套齐全、集群发展的战略新型产业体系。</w:t>
      </w:r>
    </w:p>
    <w:p>
      <w:pPr>
        <w:pStyle w:val="131"/>
        <w:spacing w:before="156"/>
        <w:ind w:left="960"/>
      </w:pPr>
      <w:r>
        <w:rPr>
          <w:rFonts w:hint="eastAsia"/>
        </w:rPr>
        <w:t>（1</w:t>
      </w:r>
      <w:r>
        <w:t>1</w:t>
      </w:r>
      <w:r>
        <w:rPr>
          <w:rFonts w:hint="eastAsia"/>
        </w:rPr>
        <w:t>）和顺经济技术开发区</w:t>
      </w:r>
    </w:p>
    <w:p>
      <w:pPr>
        <w:spacing w:before="156"/>
      </w:pPr>
      <w:r>
        <w:rPr>
          <w:rFonts w:hint="eastAsia"/>
        </w:rPr>
        <w:t>控制面积</w:t>
      </w:r>
      <w:r>
        <w:t>20</w:t>
      </w:r>
      <w:r>
        <w:rPr>
          <w:rFonts w:hint="eastAsia"/>
        </w:rPr>
        <w:t>平方公里，大力引进节能环保、资源消耗低、科技含量高的制造业、特色农业、文化旅游及新材料、新能源等特色产业项目。</w:t>
      </w:r>
    </w:p>
    <w:p>
      <w:pPr>
        <w:pStyle w:val="131"/>
        <w:spacing w:before="156"/>
        <w:ind w:left="960"/>
      </w:pPr>
      <w:r>
        <w:rPr>
          <w:rFonts w:hint="eastAsia"/>
        </w:rPr>
        <w:t>（1</w:t>
      </w:r>
      <w:r>
        <w:t>2</w:t>
      </w:r>
      <w:r>
        <w:rPr>
          <w:rFonts w:hint="eastAsia"/>
        </w:rPr>
        <w:t>）榆社经济技术开发区</w:t>
      </w:r>
    </w:p>
    <w:p>
      <w:pPr>
        <w:spacing w:before="156"/>
      </w:pPr>
      <w:r>
        <w:rPr>
          <w:rFonts w:hint="eastAsia"/>
        </w:rPr>
        <w:t>控制面积</w:t>
      </w:r>
      <w:r>
        <w:t>21.97</w:t>
      </w:r>
      <w:r>
        <w:rPr>
          <w:rFonts w:hint="eastAsia"/>
        </w:rPr>
        <w:t>平方公里，主导产业为医药化工、新材料、食品加工、现代物流、文化旅游。</w:t>
      </w:r>
    </w:p>
    <w:p>
      <w:pPr>
        <w:pStyle w:val="3"/>
        <w:spacing w:before="156" w:after="156"/>
        <w:rPr>
          <w:rStyle w:val="52"/>
          <w:b w:val="0"/>
          <w:color w:val="auto"/>
          <w:u w:val="none"/>
        </w:rPr>
      </w:pPr>
      <w:bookmarkStart w:id="140" w:name="_Toc277460142"/>
      <w:bookmarkStart w:id="141" w:name="_Toc277460713"/>
      <w:bookmarkStart w:id="142" w:name="_Toc277460870"/>
      <w:bookmarkStart w:id="143" w:name="_Toc277459695"/>
      <w:bookmarkStart w:id="144" w:name="_Toc277460556"/>
      <w:bookmarkStart w:id="145" w:name="_Toc492850096"/>
      <w:bookmarkStart w:id="146" w:name="_Toc275418481"/>
      <w:bookmarkStart w:id="147" w:name="_Toc275417938"/>
      <w:r>
        <w:rPr>
          <w:rStyle w:val="52"/>
          <w:rFonts w:hint="eastAsia"/>
          <w:b w:val="0"/>
          <w:color w:val="auto"/>
          <w:u w:val="none"/>
        </w:rPr>
        <w:t>第七节 市域自然景观与历史文化保护</w:t>
      </w:r>
      <w:bookmarkEnd w:id="140"/>
      <w:bookmarkEnd w:id="141"/>
      <w:bookmarkEnd w:id="142"/>
      <w:bookmarkEnd w:id="143"/>
      <w:bookmarkEnd w:id="144"/>
      <w:r>
        <w:rPr>
          <w:rStyle w:val="52"/>
          <w:rFonts w:hint="eastAsia"/>
          <w:b w:val="0"/>
          <w:color w:val="auto"/>
          <w:u w:val="none"/>
        </w:rPr>
        <w:t>规划</w:t>
      </w:r>
      <w:bookmarkEnd w:id="145"/>
    </w:p>
    <w:p>
      <w:pPr>
        <w:pStyle w:val="4"/>
        <w:tabs>
          <w:tab w:val="left" w:pos="993"/>
          <w:tab w:val="clear" w:pos="1260"/>
        </w:tabs>
        <w:spacing w:before="312"/>
        <w:ind w:left="851" w:hanging="834"/>
      </w:pPr>
      <w:r>
        <w:rPr>
          <w:rFonts w:hint="eastAsia"/>
        </w:rPr>
        <w:t>自然、风景名胜资源保护</w:t>
      </w:r>
    </w:p>
    <w:p>
      <w:pPr>
        <w:spacing w:before="156"/>
      </w:pPr>
      <w:r>
        <w:rPr>
          <w:rFonts w:hint="eastAsia"/>
        </w:rPr>
        <w:t>对于国家级和省级森林公园，按照林业部门的相关规定，进行特别的保护和管理。</w:t>
      </w:r>
    </w:p>
    <w:p>
      <w:pPr>
        <w:spacing w:before="156"/>
      </w:pPr>
      <w:r>
        <w:rPr>
          <w:rFonts w:hint="eastAsia"/>
        </w:rPr>
        <w:t>对于风景名胜区，严格按照《风景名胜区管理条例》（</w:t>
      </w:r>
      <w:r>
        <w:t>2006</w:t>
      </w:r>
      <w:r>
        <w:rPr>
          <w:rFonts w:hint="eastAsia"/>
        </w:rPr>
        <w:t>）的相关规定对景区内的自然资源和历史人文资源进行保护和管理，编制合理的保护控制规划，保护景区内的文物古迹及其风景区的历史环境风貌，控制文物古迹周边的建设活动，避免出现制造假古董假文物的现象。</w:t>
      </w:r>
    </w:p>
    <w:p>
      <w:pPr>
        <w:spacing w:before="156"/>
      </w:pPr>
      <w:r>
        <w:rPr>
          <w:rFonts w:hint="eastAsia"/>
        </w:rPr>
        <w:t>对于自然保护区，应严格按照《</w:t>
      </w:r>
      <w:r>
        <w:t>中华人民共和国自然保护区条例</w:t>
      </w:r>
      <w:r>
        <w:rPr>
          <w:rFonts w:hint="eastAsia"/>
        </w:rPr>
        <w:t>》和《山西</w:t>
      </w:r>
      <w:r>
        <w:t>省自然保护区管理暂行办法</w:t>
      </w:r>
      <w:r>
        <w:rPr>
          <w:rFonts w:hint="eastAsia"/>
        </w:rPr>
        <w:t>》进行保护与管理。</w:t>
      </w:r>
    </w:p>
    <w:p>
      <w:pPr>
        <w:pStyle w:val="4"/>
        <w:tabs>
          <w:tab w:val="left" w:pos="993"/>
          <w:tab w:val="clear" w:pos="1260"/>
        </w:tabs>
        <w:spacing w:before="312"/>
        <w:ind w:left="851" w:hanging="834"/>
      </w:pPr>
      <w:bookmarkStart w:id="148" w:name="_Toc277460557"/>
      <w:bookmarkStart w:id="149" w:name="_Toc277460714"/>
      <w:bookmarkStart w:id="150" w:name="_Toc277460871"/>
      <w:r>
        <w:rPr>
          <w:rFonts w:hint="eastAsia"/>
        </w:rPr>
        <w:t>历史文化名城保护</w:t>
      </w:r>
      <w:bookmarkEnd w:id="148"/>
      <w:bookmarkEnd w:id="149"/>
      <w:bookmarkEnd w:id="150"/>
    </w:p>
    <w:p>
      <w:pPr>
        <w:spacing w:before="156"/>
      </w:pPr>
      <w:r>
        <w:rPr>
          <w:rFonts w:hint="eastAsia"/>
        </w:rPr>
        <w:t>加强对祁县、平遥两座国家级历史文化名城和太谷、介休两座省级历史文化名城的保护。</w:t>
      </w:r>
      <w:r>
        <w:t>历史文化名城保护应注重保护城市的文物古迹、历史地段，保护和延续古城传统风貌、格局和空间形态，保护近代优秀建筑，继承和发扬城市的传统文化；划定重点保护区和传统风貌协调区</w:t>
      </w:r>
      <w:r>
        <w:rPr>
          <w:rFonts w:hint="eastAsia"/>
        </w:rPr>
        <w:t>，并</w:t>
      </w:r>
      <w:r>
        <w:t>适应城市居民现代生活和工作环境的需要。</w:t>
      </w:r>
    </w:p>
    <w:p>
      <w:pPr>
        <w:pStyle w:val="4"/>
        <w:tabs>
          <w:tab w:val="left" w:pos="993"/>
          <w:tab w:val="clear" w:pos="1260"/>
        </w:tabs>
        <w:spacing w:before="312"/>
        <w:ind w:left="851" w:hanging="834"/>
      </w:pPr>
      <w:bookmarkStart w:id="151" w:name="_Toc277460715"/>
      <w:bookmarkStart w:id="152" w:name="_Toc277460872"/>
      <w:bookmarkStart w:id="153" w:name="_Toc277460558"/>
      <w:r>
        <w:rPr>
          <w:rFonts w:hint="eastAsia"/>
        </w:rPr>
        <w:t>历史文化名镇、名村保护</w:t>
      </w:r>
      <w:bookmarkEnd w:id="151"/>
      <w:bookmarkEnd w:id="152"/>
      <w:bookmarkEnd w:id="153"/>
    </w:p>
    <w:p>
      <w:pPr>
        <w:spacing w:before="156"/>
      </w:pPr>
      <w:r>
        <w:rPr>
          <w:rFonts w:hint="eastAsia"/>
        </w:rPr>
        <w:t>对市域范围的43处国家级</w:t>
      </w:r>
      <w:r>
        <w:t>、省级</w:t>
      </w:r>
      <w:r>
        <w:rPr>
          <w:rFonts w:hint="eastAsia"/>
        </w:rPr>
        <w:t>历史村镇应严格按照保护规划进行保护，尚未编制保护规划的镇、村应尽快由所在地县级人民政府组织编制历史文化名镇、名村保护规划，明确传统格局和历史风貌保护要求，划定核心保护范围和建设控制地带。（名录见附表9）</w:t>
      </w:r>
    </w:p>
    <w:p>
      <w:pPr>
        <w:pStyle w:val="4"/>
        <w:tabs>
          <w:tab w:val="left" w:pos="993"/>
          <w:tab w:val="clear" w:pos="1260"/>
        </w:tabs>
        <w:spacing w:before="312"/>
        <w:ind w:left="851" w:hanging="834"/>
      </w:pPr>
      <w:bookmarkStart w:id="154" w:name="_Toc277460873"/>
      <w:bookmarkStart w:id="155" w:name="_Toc277460716"/>
      <w:bookmarkStart w:id="156" w:name="_Toc277460559"/>
      <w:r>
        <w:rPr>
          <w:rFonts w:hint="eastAsia"/>
        </w:rPr>
        <w:t>文物保护</w:t>
      </w:r>
      <w:bookmarkEnd w:id="154"/>
      <w:bookmarkEnd w:id="155"/>
      <w:bookmarkEnd w:id="156"/>
      <w:r>
        <w:rPr>
          <w:rFonts w:hint="eastAsia"/>
        </w:rPr>
        <w:t>单位的保护</w:t>
      </w:r>
    </w:p>
    <w:p>
      <w:pPr>
        <w:spacing w:before="156"/>
      </w:pPr>
      <w:r>
        <w:rPr>
          <w:rFonts w:hint="eastAsia"/>
        </w:rPr>
        <w:t>对已公布的616处文物保护单位按照《中华人民共和国文物保护法》的要求予以保护，制定保护措施。同时</w:t>
      </w:r>
      <w:r>
        <w:t>继续</w:t>
      </w:r>
      <w:r>
        <w:rPr>
          <w:rFonts w:hint="eastAsia"/>
        </w:rPr>
        <w:t>文物普查和各级文物申报、公布工作。</w:t>
      </w:r>
      <w:bookmarkStart w:id="157" w:name="_Toc277460874"/>
      <w:bookmarkStart w:id="158" w:name="_Toc277460560"/>
      <w:bookmarkStart w:id="159" w:name="_Toc277459696"/>
      <w:bookmarkStart w:id="160" w:name="_Toc277460717"/>
      <w:bookmarkStart w:id="161" w:name="_Toc277460143"/>
      <w:r>
        <w:rPr>
          <w:rFonts w:hint="eastAsia"/>
        </w:rPr>
        <w:t>（文保单位名录见附表10）</w:t>
      </w:r>
    </w:p>
    <w:p>
      <w:pPr>
        <w:pStyle w:val="3"/>
        <w:spacing w:before="156" w:after="156"/>
        <w:rPr>
          <w:rStyle w:val="52"/>
          <w:color w:val="auto"/>
          <w:u w:val="none"/>
        </w:rPr>
      </w:pPr>
      <w:bookmarkStart w:id="162" w:name="_Toc492850097"/>
      <w:r>
        <w:rPr>
          <w:rStyle w:val="52"/>
          <w:rFonts w:hint="eastAsia"/>
          <w:color w:val="auto"/>
          <w:u w:val="none"/>
        </w:rPr>
        <w:t>第八节 市域旅游发展</w:t>
      </w:r>
      <w:bookmarkEnd w:id="146"/>
      <w:bookmarkEnd w:id="147"/>
      <w:bookmarkEnd w:id="157"/>
      <w:bookmarkEnd w:id="158"/>
      <w:bookmarkEnd w:id="159"/>
      <w:bookmarkEnd w:id="160"/>
      <w:bookmarkEnd w:id="161"/>
      <w:r>
        <w:rPr>
          <w:rStyle w:val="52"/>
          <w:rFonts w:hint="eastAsia"/>
          <w:color w:val="auto"/>
          <w:u w:val="none"/>
        </w:rPr>
        <w:t>规划</w:t>
      </w:r>
      <w:bookmarkEnd w:id="162"/>
    </w:p>
    <w:p>
      <w:pPr>
        <w:pStyle w:val="4"/>
        <w:tabs>
          <w:tab w:val="left" w:pos="993"/>
          <w:tab w:val="clear" w:pos="1260"/>
        </w:tabs>
        <w:spacing w:before="312"/>
        <w:ind w:left="851" w:hanging="834"/>
      </w:pPr>
      <w:bookmarkStart w:id="163" w:name="_Toc277460561"/>
      <w:bookmarkStart w:id="164" w:name="_Toc277460875"/>
      <w:bookmarkStart w:id="165" w:name="_Toc275418482"/>
      <w:bookmarkStart w:id="166" w:name="_Toc277460718"/>
      <w:r>
        <w:rPr>
          <w:rFonts w:hint="eastAsia"/>
        </w:rPr>
        <w:t>旅游发展目标</w:t>
      </w:r>
      <w:bookmarkEnd w:id="163"/>
      <w:bookmarkEnd w:id="164"/>
      <w:bookmarkEnd w:id="165"/>
      <w:bookmarkEnd w:id="166"/>
    </w:p>
    <w:p>
      <w:pPr>
        <w:spacing w:before="156"/>
      </w:pPr>
      <w:r>
        <w:t>将晋中建成</w:t>
      </w:r>
      <w:r>
        <w:rPr>
          <w:rFonts w:hint="eastAsia"/>
        </w:rPr>
        <w:t>全域旅游示范区</w:t>
      </w:r>
      <w:r>
        <w:t>、国家级文化旅游名城和华北地区首选的观光度假胜地之一，旅游业成为全市国民经济的支柱产业之一。</w:t>
      </w:r>
    </w:p>
    <w:p>
      <w:pPr>
        <w:pStyle w:val="4"/>
        <w:tabs>
          <w:tab w:val="left" w:pos="993"/>
          <w:tab w:val="clear" w:pos="1260"/>
        </w:tabs>
        <w:spacing w:before="312"/>
        <w:ind w:left="851" w:hanging="834"/>
      </w:pPr>
      <w:bookmarkStart w:id="167" w:name="_Toc277460563"/>
      <w:bookmarkStart w:id="168" w:name="_Toc275418484"/>
      <w:bookmarkStart w:id="169" w:name="_Toc277460720"/>
      <w:bookmarkStart w:id="170" w:name="_Toc277460877"/>
      <w:r>
        <w:rPr>
          <w:rFonts w:hint="eastAsia"/>
        </w:rPr>
        <w:t>旅游发展空间布局</w:t>
      </w:r>
      <w:bookmarkEnd w:id="167"/>
      <w:bookmarkEnd w:id="168"/>
      <w:bookmarkEnd w:id="169"/>
      <w:bookmarkEnd w:id="170"/>
    </w:p>
    <w:p>
      <w:pPr>
        <w:spacing w:before="156"/>
      </w:pPr>
      <w:r>
        <w:rPr>
          <w:rFonts w:hint="eastAsia"/>
        </w:rPr>
        <w:t>构建“两心三带九区”的旅游空间结构。</w:t>
      </w:r>
    </w:p>
    <w:p>
      <w:pPr>
        <w:pStyle w:val="131"/>
        <w:spacing w:before="156"/>
        <w:ind w:left="960"/>
      </w:pPr>
      <w:r>
        <w:rPr>
          <w:rFonts w:hint="eastAsia"/>
        </w:rPr>
        <w:t>（1）两心</w:t>
      </w:r>
    </w:p>
    <w:p>
      <w:pPr>
        <w:spacing w:before="156"/>
      </w:pPr>
      <w:r>
        <w:rPr>
          <w:rFonts w:hint="eastAsia"/>
        </w:rPr>
        <w:t>两心为</w:t>
      </w:r>
      <w:r>
        <w:t>平遥</w:t>
      </w:r>
      <w:r>
        <w:rPr>
          <w:rFonts w:hint="eastAsia"/>
        </w:rPr>
        <w:t>旅游服务主中心</w:t>
      </w:r>
      <w:r>
        <w:t>和</w:t>
      </w:r>
      <w:r>
        <w:rPr>
          <w:rFonts w:hint="eastAsia"/>
        </w:rPr>
        <w:t>榆次旅游服务副中心</w:t>
      </w:r>
      <w:r>
        <w:t>。</w:t>
      </w:r>
    </w:p>
    <w:p>
      <w:pPr>
        <w:spacing w:before="156"/>
      </w:pPr>
      <w:r>
        <w:rPr>
          <w:rFonts w:hint="eastAsia"/>
        </w:rPr>
        <w:t>平遥县城应注重古城保护，权衡开发力度，在进一步完善旅游服务和加强城市交通、餐饮、住宿、购物、娱乐等设施建设的基础上，加快区域交通连接，增强平遥的旅游集散中心地位，带动和辐射整个晋中市域的旅游发展。建设平遥文化旅游开发区。</w:t>
      </w:r>
    </w:p>
    <w:p>
      <w:pPr>
        <w:spacing w:before="156"/>
      </w:pPr>
      <w:r>
        <w:rPr>
          <w:rFonts w:hint="eastAsia"/>
        </w:rPr>
        <w:t>榆次区重点发展会展旅游、商务旅游、主题乐园等特色旅游经济，培养旅游专业人才，完善软件设施建设提升旅游服务质量，协助平遥全面发展和带动晋中整个市域的旅游产业。</w:t>
      </w:r>
    </w:p>
    <w:p>
      <w:pPr>
        <w:pStyle w:val="131"/>
        <w:spacing w:before="156"/>
        <w:ind w:left="960"/>
      </w:pPr>
      <w:r>
        <w:rPr>
          <w:rFonts w:hint="eastAsia"/>
        </w:rPr>
        <w:t>（2）三带</w:t>
      </w:r>
    </w:p>
    <w:p>
      <w:pPr>
        <w:spacing w:before="156"/>
      </w:pPr>
      <w:r>
        <w:rPr>
          <w:rFonts w:hint="eastAsia"/>
        </w:rPr>
        <w:t>建设</w:t>
      </w:r>
      <w:r>
        <w:t>大运线晋商文化旅游带、207国道红色太行旅游带和南部山地休闲度假旅游带。</w:t>
      </w:r>
    </w:p>
    <w:p>
      <w:pPr>
        <w:spacing w:before="156"/>
      </w:pPr>
      <w:r>
        <w:t>大运线晋商文化旅游带</w:t>
      </w:r>
      <w:r>
        <w:rPr>
          <w:rFonts w:hint="eastAsia"/>
        </w:rPr>
        <w:t>以晋商大院文化旅游为主，兼顾晋中传统文化与自然风光旅游。</w:t>
      </w:r>
    </w:p>
    <w:p>
      <w:pPr>
        <w:spacing w:before="156"/>
      </w:pPr>
      <w:r>
        <w:t>207国道红色太行旅游带以</w:t>
      </w:r>
      <w:r>
        <w:rPr>
          <w:rFonts w:hint="eastAsia"/>
        </w:rPr>
        <w:t>“</w:t>
      </w:r>
      <w:r>
        <w:t>太行风情、红色文化</w:t>
      </w:r>
      <w:r>
        <w:rPr>
          <w:rFonts w:hint="eastAsia"/>
        </w:rPr>
        <w:t>”</w:t>
      </w:r>
      <w:r>
        <w:t>为主线，</w:t>
      </w:r>
      <w:r>
        <w:rPr>
          <w:rFonts w:hint="eastAsia"/>
        </w:rPr>
        <w:t>凭借</w:t>
      </w:r>
      <w:r>
        <w:t>丰富的红色旅游资源和太行山水风光，突出</w:t>
      </w:r>
      <w:r>
        <w:rPr>
          <w:rFonts w:hint="eastAsia"/>
        </w:rPr>
        <w:t>“</w:t>
      </w:r>
      <w:r>
        <w:t>绿色土地，红色文化</w:t>
      </w:r>
      <w:r>
        <w:rPr>
          <w:rFonts w:hint="eastAsia"/>
        </w:rPr>
        <w:t>”</w:t>
      </w:r>
      <w:r>
        <w:t>的产品形象特色</w:t>
      </w:r>
      <w:r>
        <w:rPr>
          <w:rFonts w:hint="eastAsia"/>
        </w:rPr>
        <w:t>。建设左权生态旅游文化开发区。</w:t>
      </w:r>
    </w:p>
    <w:p>
      <w:pPr>
        <w:spacing w:before="156"/>
      </w:pPr>
      <w:r>
        <w:t>南部山地休闲度假旅游带</w:t>
      </w:r>
      <w:r>
        <w:rPr>
          <w:rFonts w:hint="eastAsia"/>
        </w:rPr>
        <w:t>以</w:t>
      </w:r>
      <w:r>
        <w:t>南部太岳山地优美的自然生态旅游资源</w:t>
      </w:r>
      <w:r>
        <w:rPr>
          <w:rFonts w:hint="eastAsia"/>
        </w:rPr>
        <w:t>为主</w:t>
      </w:r>
      <w:r>
        <w:t>，</w:t>
      </w:r>
      <w:r>
        <w:rPr>
          <w:rFonts w:hint="eastAsia"/>
        </w:rPr>
        <w:t>拓展休闲度假旅游。</w:t>
      </w:r>
    </w:p>
    <w:p>
      <w:pPr>
        <w:pStyle w:val="131"/>
        <w:spacing w:before="156"/>
        <w:ind w:left="960"/>
      </w:pPr>
      <w:r>
        <w:rPr>
          <w:rFonts w:hint="eastAsia"/>
        </w:rPr>
        <w:t>（3）九区</w:t>
      </w:r>
    </w:p>
    <w:p>
      <w:pPr>
        <w:spacing w:before="156"/>
      </w:pPr>
      <w:r>
        <w:t>榆次老城、平遥古城、乔家大院、王家大院与静升古镇、大寨、龙泉－麻田、云竹湖、绵山和石膏山九大旅游优先发展区，是晋中市</w:t>
      </w:r>
      <w:r>
        <w:rPr>
          <w:rFonts w:hint="eastAsia"/>
        </w:rPr>
        <w:t>旅游</w:t>
      </w:r>
      <w:r>
        <w:t>吸引力最强</w:t>
      </w:r>
      <w:r>
        <w:rPr>
          <w:rFonts w:hint="eastAsia"/>
        </w:rPr>
        <w:t>、</w:t>
      </w:r>
      <w:r>
        <w:t>最具有发展潜力</w:t>
      </w:r>
      <w:r>
        <w:rPr>
          <w:rFonts w:hint="eastAsia"/>
        </w:rPr>
        <w:t>的旅游</w:t>
      </w:r>
      <w:r>
        <w:t>区，是晋中市未来</w:t>
      </w:r>
      <w:r>
        <w:rPr>
          <w:rFonts w:hint="eastAsia"/>
        </w:rPr>
        <w:t>旅游</w:t>
      </w:r>
      <w:r>
        <w:t>发展的重点投资</w:t>
      </w:r>
      <w:r>
        <w:rPr>
          <w:rFonts w:hint="eastAsia"/>
        </w:rPr>
        <w:t>建设</w:t>
      </w:r>
      <w:r>
        <w:t>区。</w:t>
      </w:r>
      <w:bookmarkStart w:id="171" w:name="_Toc277460885"/>
      <w:bookmarkStart w:id="172" w:name="_Toc277459698"/>
      <w:bookmarkStart w:id="173" w:name="_Toc275417940"/>
      <w:bookmarkStart w:id="174" w:name="_Toc275418492"/>
      <w:bookmarkStart w:id="175" w:name="_Toc277460145"/>
      <w:bookmarkStart w:id="176" w:name="_Toc277460728"/>
      <w:bookmarkStart w:id="177" w:name="_Toc277460571"/>
    </w:p>
    <w:p>
      <w:pPr>
        <w:pStyle w:val="3"/>
        <w:spacing w:before="156" w:after="156"/>
        <w:rPr>
          <w:rStyle w:val="52"/>
          <w:b w:val="0"/>
          <w:color w:val="auto"/>
          <w:u w:val="none"/>
        </w:rPr>
      </w:pPr>
      <w:bookmarkStart w:id="178" w:name="_Toc492850098"/>
      <w:r>
        <w:rPr>
          <w:rStyle w:val="52"/>
          <w:rFonts w:hint="eastAsia"/>
          <w:b w:val="0"/>
          <w:color w:val="auto"/>
          <w:u w:val="none"/>
        </w:rPr>
        <w:t>第九节 市域</w:t>
      </w:r>
      <w:bookmarkEnd w:id="171"/>
      <w:bookmarkEnd w:id="172"/>
      <w:bookmarkEnd w:id="173"/>
      <w:bookmarkEnd w:id="174"/>
      <w:bookmarkEnd w:id="175"/>
      <w:bookmarkEnd w:id="176"/>
      <w:bookmarkEnd w:id="177"/>
      <w:r>
        <w:rPr>
          <w:rStyle w:val="52"/>
          <w:rFonts w:hint="eastAsia"/>
          <w:b w:val="0"/>
          <w:color w:val="auto"/>
          <w:u w:val="none"/>
        </w:rPr>
        <w:t>水资源综合利用规划</w:t>
      </w:r>
      <w:bookmarkEnd w:id="178"/>
    </w:p>
    <w:p>
      <w:pPr>
        <w:pStyle w:val="4"/>
        <w:tabs>
          <w:tab w:val="left" w:pos="993"/>
          <w:tab w:val="clear" w:pos="1260"/>
        </w:tabs>
        <w:spacing w:before="312"/>
        <w:ind w:left="851" w:hanging="834"/>
      </w:pPr>
      <w:r>
        <w:rPr>
          <w:rFonts w:hint="eastAsia"/>
        </w:rPr>
        <w:t>水资源总量及可利用量</w:t>
      </w:r>
    </w:p>
    <w:p>
      <w:pPr>
        <w:spacing w:before="156"/>
      </w:pPr>
      <w:r>
        <w:rPr>
          <w:rFonts w:hint="eastAsia" w:ascii="宋体" w:hAnsi="宋体"/>
        </w:rPr>
        <w:t>晋中市全市多年平均水资源总量为13.1亿立方米，全市水资源可利用量87575万立方米，平均水资源可利用率67%。</w:t>
      </w:r>
    </w:p>
    <w:p>
      <w:pPr>
        <w:pStyle w:val="4"/>
        <w:tabs>
          <w:tab w:val="left" w:pos="993"/>
          <w:tab w:val="clear" w:pos="1260"/>
        </w:tabs>
        <w:spacing w:before="312"/>
        <w:ind w:left="851" w:hanging="834"/>
      </w:pPr>
      <w:r>
        <w:rPr>
          <w:rFonts w:hint="eastAsia"/>
        </w:rPr>
        <w:t>需水量预测</w:t>
      </w:r>
    </w:p>
    <w:p>
      <w:pPr>
        <w:spacing w:before="156"/>
        <w:rPr>
          <w:rFonts w:ascii="Times New Roman" w:hAnsi="Times New Roman"/>
        </w:rPr>
      </w:pPr>
      <w:r>
        <w:rPr>
          <w:rFonts w:hint="eastAsia" w:ascii="Times New Roman" w:hAnsi="Times New Roman"/>
        </w:rPr>
        <w:t>预测</w:t>
      </w:r>
      <w:r>
        <w:rPr>
          <w:rFonts w:ascii="Times New Roman" w:hAnsi="Times New Roman"/>
        </w:rPr>
        <w:t>到2030年</w:t>
      </w:r>
      <w:r>
        <w:rPr>
          <w:rFonts w:hint="eastAsia" w:ascii="Times New Roman" w:hAnsi="Times New Roman"/>
        </w:rPr>
        <w:t>晋中市总需水量为86014万立方米，其中：</w:t>
      </w:r>
      <w:r>
        <w:rPr>
          <w:rFonts w:ascii="Times New Roman" w:hAnsi="Times New Roman"/>
        </w:rPr>
        <w:t>城镇居民生活</w:t>
      </w:r>
      <w:r>
        <w:rPr>
          <w:rFonts w:hint="eastAsia" w:ascii="Times New Roman" w:hAnsi="Times New Roman"/>
        </w:rPr>
        <w:t>需</w:t>
      </w:r>
      <w:r>
        <w:rPr>
          <w:rFonts w:ascii="Times New Roman" w:hAnsi="Times New Roman"/>
        </w:rPr>
        <w:t>水量为16790万立方米</w:t>
      </w:r>
      <w:r>
        <w:rPr>
          <w:rFonts w:hint="eastAsia" w:ascii="Times New Roman" w:hAnsi="Times New Roman"/>
        </w:rPr>
        <w:t>，工业需水量为27710万立方米，三产需水量为4990万立方米，农林业需水量为33516万立方米，建筑业需水量为896万立方米，生态需水量为2112万立方米</w:t>
      </w:r>
      <w:r>
        <w:rPr>
          <w:rFonts w:ascii="Times New Roman" w:hAnsi="Times New Roman"/>
        </w:rPr>
        <w:t>。</w:t>
      </w:r>
    </w:p>
    <w:p>
      <w:pPr>
        <w:pStyle w:val="4"/>
        <w:tabs>
          <w:tab w:val="left" w:pos="993"/>
          <w:tab w:val="clear" w:pos="1260"/>
        </w:tabs>
        <w:spacing w:before="312"/>
        <w:ind w:left="851" w:hanging="834"/>
      </w:pPr>
      <w:r>
        <w:rPr>
          <w:rFonts w:hint="eastAsia"/>
        </w:rPr>
        <w:t>城镇供水规划目标</w:t>
      </w:r>
    </w:p>
    <w:p>
      <w:pPr>
        <w:spacing w:before="156"/>
      </w:pPr>
      <w:r>
        <w:t>加大饮用水源地的治理和保护力度，生活饮用水源水质达标率为100%。中心城区及各</w:t>
      </w:r>
      <w:r>
        <w:rPr>
          <w:rFonts w:hint="eastAsia"/>
        </w:rPr>
        <w:t>县城</w:t>
      </w:r>
      <w:r>
        <w:t>集中供水普及率达到100%，生活饮用水水质应达到《生活饮用水卫生标准》（GB5749－2006）各项控制指标。</w:t>
      </w:r>
    </w:p>
    <w:p>
      <w:pPr>
        <w:pStyle w:val="4"/>
        <w:tabs>
          <w:tab w:val="left" w:pos="993"/>
          <w:tab w:val="clear" w:pos="1260"/>
        </w:tabs>
        <w:spacing w:before="312"/>
        <w:ind w:left="851" w:hanging="834"/>
      </w:pPr>
      <w:r>
        <w:rPr>
          <w:rFonts w:hint="eastAsia"/>
        </w:rPr>
        <w:t>水源规划</w:t>
      </w:r>
    </w:p>
    <w:p>
      <w:pPr>
        <w:spacing w:before="156"/>
        <w:rPr>
          <w:rFonts w:ascii="宋体" w:hAnsi="宋体"/>
        </w:rPr>
      </w:pPr>
      <w:r>
        <w:rPr>
          <w:rFonts w:hint="eastAsia" w:ascii="宋体" w:hAnsi="宋体"/>
        </w:rPr>
        <w:t>中心城区以太原城南水厂、</w:t>
      </w:r>
      <w:r>
        <w:rPr>
          <w:rFonts w:hint="eastAsia" w:ascii="宋体" w:hAnsi="宋体"/>
          <w:lang w:eastAsia="zh-CN"/>
        </w:rPr>
        <w:t>西窑</w:t>
      </w:r>
      <w:r>
        <w:rPr>
          <w:rFonts w:hint="eastAsia" w:ascii="宋体" w:hAnsi="宋体"/>
        </w:rPr>
        <w:t>水源地、北山水源地、松塔水库为主要供水水源，以源涡水源地作为备用水源。</w:t>
      </w:r>
    </w:p>
    <w:p>
      <w:pPr>
        <w:spacing w:before="156"/>
      </w:pPr>
      <w:r>
        <w:rPr>
          <w:rFonts w:hint="eastAsia" w:ascii="宋体" w:hAnsi="宋体"/>
        </w:rPr>
        <w:t>左权县、介休市、平遥县、祁县、太谷县、灵石县除了考虑本区域内水源配置外，另借助东山调水工程满足生活和工业用水需求。其他县市供水考虑就近水源作为水源地，水源水质满足供水需求。</w:t>
      </w:r>
    </w:p>
    <w:p>
      <w:pPr>
        <w:pStyle w:val="4"/>
        <w:tabs>
          <w:tab w:val="left" w:pos="993"/>
          <w:tab w:val="clear" w:pos="1260"/>
        </w:tabs>
        <w:spacing w:before="312"/>
        <w:ind w:left="851" w:hanging="834"/>
      </w:pPr>
      <w:r>
        <w:rPr>
          <w:rFonts w:hint="eastAsia"/>
        </w:rPr>
        <w:t>水源地保护规划</w:t>
      </w:r>
    </w:p>
    <w:p>
      <w:pPr>
        <w:spacing w:before="156"/>
      </w:pPr>
      <w:r>
        <w:rPr>
          <w:rFonts w:hint="eastAsia"/>
        </w:rPr>
        <w:t>完善水资源保护法规，依法保护水资源；正确处理经济发展与环境污染的关系；水质水量并重，加强水源地保护统一管理。</w:t>
      </w:r>
      <w:r>
        <w:t>加强饮用水源及备用水源的保护力度，严格执行《饮用水水源保护区污染防治管理规定》，保护境内饮用水源，水源水质必须达到《生活饮用水水源水质标准》（CJ 3020-93）</w:t>
      </w:r>
      <w:r>
        <w:rPr>
          <w:rFonts w:hint="eastAsia"/>
        </w:rPr>
        <w:t>的要求。</w:t>
      </w:r>
    </w:p>
    <w:p>
      <w:pPr>
        <w:pStyle w:val="4"/>
        <w:tabs>
          <w:tab w:val="left" w:pos="993"/>
          <w:tab w:val="clear" w:pos="1260"/>
        </w:tabs>
        <w:spacing w:before="312"/>
        <w:ind w:left="851" w:hanging="834"/>
      </w:pPr>
      <w:r>
        <w:rPr>
          <w:rFonts w:hint="eastAsia"/>
        </w:rPr>
        <w:t>重大供水设施布局</w:t>
      </w:r>
    </w:p>
    <w:p>
      <w:pPr>
        <w:spacing w:before="156"/>
      </w:pPr>
      <w:r>
        <w:rPr>
          <w:rFonts w:ascii="宋体" w:hAnsi="宋体"/>
        </w:rPr>
        <w:t>中心城区：取消现状第一水厂，作为应急备用水厂；保留第二水厂，规模控制在</w:t>
      </w:r>
      <w:r>
        <w:rPr>
          <w:rFonts w:hint="default" w:ascii="Times New Roman" w:hAnsi="Times New Roman" w:cs="Times New Roman"/>
        </w:rPr>
        <w:t>3</w:t>
      </w:r>
      <w:r>
        <w:rPr>
          <w:rFonts w:ascii="宋体" w:hAnsi="宋体"/>
        </w:rPr>
        <w:t>万立方米/日；保留第三水厂，规模为</w:t>
      </w:r>
      <w:r>
        <w:rPr>
          <w:rFonts w:hint="default" w:ascii="Times New Roman" w:hAnsi="Times New Roman" w:cs="Times New Roman"/>
        </w:rPr>
        <w:t>2</w:t>
      </w:r>
      <w:r>
        <w:rPr>
          <w:rFonts w:ascii="宋体" w:hAnsi="宋体"/>
        </w:rPr>
        <w:t>万立方米/日；</w:t>
      </w:r>
      <w:r>
        <w:rPr>
          <w:rFonts w:hint="eastAsia" w:ascii="宋体" w:hAnsi="宋体"/>
        </w:rPr>
        <w:t>保留</w:t>
      </w:r>
      <w:r>
        <w:rPr>
          <w:rFonts w:ascii="宋体" w:hAnsi="宋体"/>
        </w:rPr>
        <w:t>第四地表水厂，规模为</w:t>
      </w:r>
      <w:r>
        <w:rPr>
          <w:rFonts w:hint="default" w:ascii="Times New Roman" w:hAnsi="Times New Roman" w:cs="Times New Roman"/>
        </w:rPr>
        <w:t>4</w:t>
      </w:r>
      <w:r>
        <w:rPr>
          <w:rFonts w:ascii="宋体" w:hAnsi="宋体"/>
        </w:rPr>
        <w:t>万立方米/日</w:t>
      </w:r>
      <w:r>
        <w:rPr>
          <w:rFonts w:hint="eastAsia" w:ascii="宋体" w:hAnsi="宋体"/>
        </w:rPr>
        <w:t>；通过太榆协调引黄管</w:t>
      </w:r>
      <w:r>
        <w:rPr>
          <w:rFonts w:ascii="宋体" w:hAnsi="宋体"/>
        </w:rPr>
        <w:t>与太原市供水管网连接。</w:t>
      </w:r>
    </w:p>
    <w:p>
      <w:pPr>
        <w:spacing w:before="156"/>
      </w:pPr>
      <w:r>
        <w:rPr>
          <w:rFonts w:hint="eastAsia"/>
        </w:rPr>
        <w:t>市域其余县（市）：</w:t>
      </w:r>
      <w:r>
        <w:t>介休、灵石利用山西省中部引黄工程扩建现状水厂，同时加强中水回用作为用水补充</w:t>
      </w:r>
      <w:r>
        <w:rPr>
          <w:rFonts w:hint="eastAsia"/>
        </w:rPr>
        <w:t>；寿阳县通过建设松塔寿阳供水工程配套建设地表水厂；</w:t>
      </w:r>
      <w:r>
        <w:t>太谷、祁县、平遥</w:t>
      </w:r>
      <w:r>
        <w:rPr>
          <w:rFonts w:hint="eastAsia"/>
        </w:rPr>
        <w:t>、左权、榆社</w:t>
      </w:r>
      <w:r>
        <w:t>等利用东山引水工程，扩建现状水厂，新建地表水厂，满足用水需求</w:t>
      </w:r>
      <w:r>
        <w:rPr>
          <w:rFonts w:hint="eastAsia"/>
        </w:rPr>
        <w:t>；</w:t>
      </w:r>
      <w:r>
        <w:t>昔阳、和顺等其它县市、乡镇利用周边地表水设小塘坝蓄水，各自</w:t>
      </w:r>
      <w:r>
        <w:rPr>
          <w:rFonts w:hint="eastAsia"/>
        </w:rPr>
        <w:t>新建</w:t>
      </w:r>
      <w:r>
        <w:t>供水水厂；地下水丰富的区域，就近打井供水。</w:t>
      </w:r>
    </w:p>
    <w:p>
      <w:pPr>
        <w:pStyle w:val="3"/>
        <w:spacing w:before="156" w:after="156"/>
        <w:rPr>
          <w:rStyle w:val="52"/>
          <w:b w:val="0"/>
          <w:color w:val="auto"/>
          <w:u w:val="none"/>
        </w:rPr>
      </w:pPr>
      <w:bookmarkStart w:id="179" w:name="_Toc492850099"/>
      <w:r>
        <w:rPr>
          <w:rStyle w:val="52"/>
          <w:rFonts w:hint="eastAsia"/>
          <w:b w:val="0"/>
          <w:color w:val="auto"/>
          <w:u w:val="none"/>
        </w:rPr>
        <w:t>第十节 市域能源综合利用规划</w:t>
      </w:r>
      <w:bookmarkEnd w:id="179"/>
    </w:p>
    <w:p>
      <w:pPr>
        <w:pStyle w:val="4"/>
        <w:tabs>
          <w:tab w:val="left" w:pos="993"/>
          <w:tab w:val="clear" w:pos="1260"/>
        </w:tabs>
        <w:spacing w:before="312"/>
        <w:ind w:left="851" w:hanging="834"/>
      </w:pPr>
      <w:r>
        <w:rPr>
          <w:rFonts w:hint="eastAsia"/>
        </w:rPr>
        <w:t>规划原则与目标</w:t>
      </w:r>
    </w:p>
    <w:p>
      <w:pPr>
        <w:spacing w:before="156"/>
      </w:pPr>
      <w:r>
        <w:rPr>
          <w:rFonts w:hint="eastAsia"/>
        </w:rPr>
        <w:t>优化能源生产结构，提高新能源及可再生能源利用率，因地制宜发展风电等可再生能源发电项目；改善能源消费结构，降低污染物排放，以电力、天然气（煤层气）、沼气等清洁能源替代煤炭；转变能源输出方式，提高电力等二次能源外送能力，逐步由现状煤炭外送为主转变为“</w:t>
      </w:r>
      <w:r>
        <w:t>输煤输电</w:t>
      </w:r>
      <w:r>
        <w:rPr>
          <w:rFonts w:hint="eastAsia"/>
        </w:rPr>
        <w:t>”</w:t>
      </w:r>
      <w:r>
        <w:t>并举</w:t>
      </w:r>
      <w:r>
        <w:rPr>
          <w:rFonts w:hint="eastAsia"/>
        </w:rPr>
        <w:t>的方式；优化产业生产结构，淘汰落后产能，推进煤炭、焦化、电力等行业的重组整合。规划至“十二五”末，全市单位GDP能耗下降16%；至规划期末，全市GDP能耗争取达到1.2吨标煤/万元。</w:t>
      </w:r>
    </w:p>
    <w:p>
      <w:pPr>
        <w:pStyle w:val="4"/>
        <w:tabs>
          <w:tab w:val="left" w:pos="993"/>
          <w:tab w:val="clear" w:pos="1260"/>
        </w:tabs>
        <w:spacing w:before="312"/>
        <w:ind w:left="851" w:hanging="834"/>
      </w:pPr>
      <w:r>
        <w:rPr>
          <w:rFonts w:hint="eastAsia"/>
        </w:rPr>
        <w:t>能源供需平衡</w:t>
      </w:r>
    </w:p>
    <w:p>
      <w:pPr>
        <w:spacing w:before="156"/>
      </w:pPr>
      <w:r>
        <w:rPr>
          <w:rFonts w:hint="eastAsia"/>
        </w:rPr>
        <w:t>至规划期末，全市一次能源生产量约8600万吨标煤，全市终端能源消费量约4600万吨标准煤。其中，石油需要外部调入，煤炭、煤层气、电力等能源可向外输出。</w:t>
      </w:r>
    </w:p>
    <w:p>
      <w:pPr>
        <w:pStyle w:val="4"/>
        <w:tabs>
          <w:tab w:val="left" w:pos="993"/>
          <w:tab w:val="clear" w:pos="1260"/>
        </w:tabs>
        <w:spacing w:before="312"/>
        <w:ind w:left="851" w:hanging="834"/>
      </w:pPr>
      <w:r>
        <w:rPr>
          <w:rFonts w:hint="eastAsia"/>
        </w:rPr>
        <w:t>重大能源设施布局</w:t>
      </w:r>
    </w:p>
    <w:p>
      <w:pPr>
        <w:spacing w:before="156"/>
      </w:pPr>
      <w:r>
        <w:rPr>
          <w:rFonts w:hint="eastAsia"/>
        </w:rPr>
        <w:t>转变能源输送方式，规划对现状瑞光热电厂、国电榆次热电厂、华能左权电厂、华能榆社电厂等大型发电厂进行扩容，新建机组单台装机容量不应小于60万千瓦。</w:t>
      </w:r>
    </w:p>
    <w:p>
      <w:pPr>
        <w:spacing w:before="156"/>
      </w:pPr>
      <w:r>
        <w:rPr>
          <w:rFonts w:hint="eastAsia"/>
        </w:rPr>
        <w:t>提高电力外送能力，规划对现状500kV福瑞输变电工程、500kV晋中输变电工程进行扩容，另规划新建500kV晋中东输变电工程。</w:t>
      </w:r>
    </w:p>
    <w:p>
      <w:pPr>
        <w:spacing w:before="156"/>
      </w:pPr>
      <w:r>
        <w:rPr>
          <w:rFonts w:hint="eastAsia"/>
        </w:rPr>
        <w:t>协调区域能源通道，对现状穿越城市建设用地的“太原-石家庄”成品油输油管道及“大盂-平遥支线”天然气管道进行迁建。</w:t>
      </w:r>
    </w:p>
    <w:p>
      <w:pPr>
        <w:spacing w:before="156"/>
      </w:pPr>
      <w:r>
        <w:rPr>
          <w:rFonts w:hint="eastAsia"/>
        </w:rPr>
        <w:t>积极推动能源综合利用及可再生能源项目建设，规划建设灵石、和顺、昔阳、寿阳等县煤矸石电厂；规划建设左权、寿阳、昔阳、和顺等县瓦斯电厂；规划建设昔阳、左权、寿阳等风力发电厂。</w:t>
      </w:r>
    </w:p>
    <w:p>
      <w:pPr>
        <w:spacing w:before="156"/>
      </w:pPr>
      <w:r>
        <w:rPr>
          <w:rFonts w:hint="eastAsia"/>
        </w:rPr>
        <w:t>保障区域能源供应安全，保留现状“宁东-山东”±660kV直流输电线路走廊及各500kV输电线路走廊；</w:t>
      </w:r>
      <w:r>
        <w:rPr>
          <w:rFonts w:hint="eastAsia" w:ascii="宋体" w:hAnsi="宋体"/>
        </w:rPr>
        <w:t>新建输电线路高压走廊宽度应严格按照《城市电力规划规范</w:t>
      </w:r>
      <w:r>
        <w:rPr>
          <w:rFonts w:hint="default" w:ascii="Times New Roman" w:hAnsi="Times New Roman" w:cs="Times New Roman"/>
        </w:rPr>
        <w:t>（GB50293）</w:t>
      </w:r>
      <w:r>
        <w:rPr>
          <w:rFonts w:hint="eastAsia" w:ascii="宋体" w:hAnsi="宋体"/>
        </w:rPr>
        <w:t>》预留</w:t>
      </w:r>
      <w:r>
        <w:rPr>
          <w:rFonts w:hint="eastAsia"/>
        </w:rPr>
        <w:t>。</w:t>
      </w:r>
    </w:p>
    <w:p>
      <w:pPr>
        <w:pStyle w:val="4"/>
        <w:tabs>
          <w:tab w:val="left" w:pos="993"/>
          <w:tab w:val="clear" w:pos="1260"/>
        </w:tabs>
        <w:spacing w:before="312"/>
        <w:ind w:left="851" w:hanging="834"/>
      </w:pPr>
      <w:r>
        <w:rPr>
          <w:rFonts w:hint="eastAsia"/>
        </w:rPr>
        <w:t>节能减排策略</w:t>
      </w:r>
    </w:p>
    <w:p>
      <w:pPr>
        <w:spacing w:before="156"/>
      </w:pPr>
      <w:r>
        <w:rPr>
          <w:rFonts w:hint="eastAsia"/>
        </w:rPr>
        <w:t>强化工业节能，加快重点耗能产业如煤炭、电力的升级改造；</w:t>
      </w:r>
      <w:r>
        <w:t>大力推进建筑节能</w:t>
      </w:r>
      <w:r>
        <w:rPr>
          <w:rFonts w:hint="eastAsia"/>
        </w:rPr>
        <w:t>，</w:t>
      </w:r>
      <w:r>
        <w:t>城镇新建建筑严格执行65%的节能设计标准</w:t>
      </w:r>
      <w:r>
        <w:rPr>
          <w:rFonts w:hint="eastAsia"/>
        </w:rPr>
        <w:t>；</w:t>
      </w:r>
      <w:r>
        <w:t>推进节能型交通体系建设</w:t>
      </w:r>
      <w:r>
        <w:rPr>
          <w:rFonts w:hint="eastAsia"/>
        </w:rPr>
        <w:t>，</w:t>
      </w:r>
      <w:r>
        <w:t>发展绿色公交，倡导使用新能源汽车</w:t>
      </w:r>
      <w:r>
        <w:rPr>
          <w:rFonts w:hint="eastAsia"/>
        </w:rPr>
        <w:t>；</w:t>
      </w:r>
      <w:r>
        <w:t>积极推动公共机构节能</w:t>
      </w:r>
      <w:r>
        <w:rPr>
          <w:rFonts w:hint="eastAsia"/>
        </w:rPr>
        <w:t>，</w:t>
      </w:r>
      <w:r>
        <w:t>加强</w:t>
      </w:r>
      <w:r>
        <w:rPr>
          <w:rFonts w:hint="eastAsia"/>
        </w:rPr>
        <w:t>既有</w:t>
      </w:r>
      <w:r>
        <w:t>建筑节能改造</w:t>
      </w:r>
      <w:r>
        <w:rPr>
          <w:rFonts w:hint="eastAsia"/>
        </w:rPr>
        <w:t>及</w:t>
      </w:r>
      <w:r>
        <w:t>市政路灯、景观照明的节能改造</w:t>
      </w:r>
      <w:r>
        <w:rPr>
          <w:rFonts w:hint="eastAsia"/>
        </w:rPr>
        <w:t>；推动农村节能，</w:t>
      </w:r>
      <w:r>
        <w:t>普及太阳能热水器、节能家电</w:t>
      </w:r>
      <w:r>
        <w:rPr>
          <w:rFonts w:hint="eastAsia"/>
        </w:rPr>
        <w:t>、</w:t>
      </w:r>
      <w:r>
        <w:t>节能型农业机械设备的应用。</w:t>
      </w:r>
    </w:p>
    <w:p>
      <w:pPr>
        <w:pStyle w:val="3"/>
        <w:spacing w:before="156" w:after="156"/>
        <w:rPr>
          <w:rStyle w:val="52"/>
          <w:b w:val="0"/>
          <w:color w:val="auto"/>
          <w:u w:val="none"/>
        </w:rPr>
      </w:pPr>
      <w:bookmarkStart w:id="180" w:name="_Toc492850100"/>
      <w:r>
        <w:rPr>
          <w:rStyle w:val="52"/>
          <w:rFonts w:hint="eastAsia"/>
          <w:b w:val="0"/>
          <w:color w:val="auto"/>
          <w:u w:val="none"/>
        </w:rPr>
        <w:t>第十一节 市域生态环境保护规划</w:t>
      </w:r>
      <w:bookmarkEnd w:id="180"/>
    </w:p>
    <w:p>
      <w:pPr>
        <w:pStyle w:val="4"/>
        <w:tabs>
          <w:tab w:val="left" w:pos="993"/>
          <w:tab w:val="clear" w:pos="1260"/>
        </w:tabs>
        <w:spacing w:before="312"/>
        <w:ind w:left="851" w:hanging="834"/>
      </w:pPr>
      <w:r>
        <w:rPr>
          <w:rFonts w:hint="eastAsia"/>
        </w:rPr>
        <w:t>大气环境保护规划</w:t>
      </w:r>
    </w:p>
    <w:p>
      <w:pPr>
        <w:pStyle w:val="131"/>
        <w:spacing w:before="156"/>
        <w:ind w:left="960"/>
      </w:pPr>
      <w:r>
        <w:rPr>
          <w:rFonts w:hint="eastAsia"/>
        </w:rPr>
        <w:t>（1）规划目标</w:t>
      </w:r>
    </w:p>
    <w:p>
      <w:pPr>
        <w:spacing w:before="156"/>
      </w:pPr>
      <w:r>
        <w:rPr>
          <w:rFonts w:hint="eastAsia"/>
        </w:rPr>
        <w:t>各城区煤尘、粉尘污染问题得到解决，环境空气质量达到国家二级标准，榆次乌金山、寿阳方山、左权龙泉山</w:t>
      </w:r>
      <w:r>
        <w:t>等风景区</w:t>
      </w:r>
      <w:r>
        <w:rPr>
          <w:rFonts w:hint="eastAsia"/>
        </w:rPr>
        <w:t>大气环境达到国家一级标准。</w:t>
      </w:r>
    </w:p>
    <w:p>
      <w:pPr>
        <w:pStyle w:val="131"/>
        <w:spacing w:before="156"/>
        <w:ind w:left="960"/>
      </w:pPr>
      <w:r>
        <w:rPr>
          <w:rFonts w:hint="eastAsia"/>
        </w:rPr>
        <w:t>（2）大气环境功能区划</w:t>
      </w:r>
    </w:p>
    <w:p>
      <w:pPr>
        <w:spacing w:before="156"/>
      </w:pPr>
      <w:r>
        <w:rPr>
          <w:rFonts w:hint="eastAsia"/>
        </w:rPr>
        <w:t>榆次乌金山、寿阳方山、左权龙泉山、和顺云龙山等森林公园和风景名胜区、铁桥山等自然保护区规划为一类功能区；其他地区均为二类功能区。</w:t>
      </w:r>
    </w:p>
    <w:p>
      <w:pPr>
        <w:pStyle w:val="131"/>
        <w:spacing w:before="156"/>
        <w:ind w:left="960"/>
      </w:pPr>
      <w:r>
        <w:rPr>
          <w:rFonts w:hint="eastAsia"/>
        </w:rPr>
        <w:t>（3）大气污染防治措施</w:t>
      </w:r>
    </w:p>
    <w:p>
      <w:pPr>
        <w:spacing w:before="156"/>
      </w:pPr>
      <w:r>
        <w:rPr>
          <w:rFonts w:hint="eastAsia"/>
          <w:bCs/>
        </w:rPr>
        <w:t>调整能源结构，降低原煤在终端能源消费中的比重。鼓励</w:t>
      </w:r>
      <w:r>
        <w:rPr>
          <w:rFonts w:hint="eastAsia"/>
        </w:rPr>
        <w:t>使用天然气、石油、液化气、煤气、电能、太阳能等清洁能源替代原煤。逐步推进城镇集中供热，优先发展热电联产集中供热项目。</w:t>
      </w:r>
    </w:p>
    <w:p>
      <w:pPr>
        <w:spacing w:before="156"/>
        <w:rPr>
          <w:bCs/>
        </w:rPr>
      </w:pPr>
      <w:r>
        <w:rPr>
          <w:rFonts w:hint="eastAsia"/>
          <w:bCs/>
        </w:rPr>
        <w:t>加大机动车尾气污染的防治力度。加速淘汰老旧机动车，取缔排放尾气超标的机动车，提高新车准入门槛。</w:t>
      </w:r>
    </w:p>
    <w:p>
      <w:pPr>
        <w:spacing w:before="156"/>
      </w:pPr>
      <w:r>
        <w:rPr>
          <w:rFonts w:hint="eastAsia"/>
          <w:bCs/>
        </w:rPr>
        <w:t>加强餐饮业油烟污染治理，整治餐饮油烟污染</w:t>
      </w:r>
      <w:r>
        <w:rPr>
          <w:rFonts w:hint="eastAsia"/>
        </w:rPr>
        <w:t>。</w:t>
      </w:r>
    </w:p>
    <w:p>
      <w:pPr>
        <w:pStyle w:val="4"/>
        <w:tabs>
          <w:tab w:val="left" w:pos="993"/>
          <w:tab w:val="clear" w:pos="1260"/>
        </w:tabs>
        <w:spacing w:before="312"/>
        <w:ind w:left="851" w:hanging="834"/>
      </w:pPr>
      <w:r>
        <w:rPr>
          <w:rFonts w:hint="eastAsia"/>
        </w:rPr>
        <w:t>水环境保护规划</w:t>
      </w:r>
    </w:p>
    <w:p>
      <w:pPr>
        <w:pStyle w:val="131"/>
        <w:spacing w:before="156"/>
        <w:ind w:left="960"/>
      </w:pPr>
      <w:r>
        <w:rPr>
          <w:rFonts w:hint="eastAsia"/>
        </w:rPr>
        <w:t>（1）规划目标</w:t>
      </w:r>
    </w:p>
    <w:p>
      <w:pPr>
        <w:spacing w:before="156"/>
        <w:rPr>
          <w:bCs/>
        </w:rPr>
      </w:pPr>
      <w:r>
        <w:rPr>
          <w:rFonts w:hint="eastAsia"/>
          <w:bCs/>
        </w:rPr>
        <w:t>工业废水污染得到全面控制，所有境内河流水质达到功能区划目标的要求，所有县城区的污水均实现集中处理。</w:t>
      </w:r>
    </w:p>
    <w:p>
      <w:pPr>
        <w:pStyle w:val="131"/>
        <w:spacing w:before="156"/>
        <w:ind w:left="960"/>
      </w:pPr>
      <w:r>
        <w:rPr>
          <w:rFonts w:hint="eastAsia"/>
        </w:rPr>
        <w:t>（2）水污染治理措施</w:t>
      </w:r>
    </w:p>
    <w:p>
      <w:pPr>
        <w:spacing w:before="156"/>
        <w:rPr>
          <w:bCs/>
        </w:rPr>
      </w:pPr>
      <w:r>
        <w:rPr>
          <w:rFonts w:hint="eastAsia"/>
          <w:bCs/>
        </w:rPr>
        <w:t>提高集中式饮用水源地保护力度。对城镇水源地实行重点保护；完成各县城集中式饮用水水源地保护区划分、立标和环境保护规划编制；并将乡村饮用水源地纳入环境监管范围。</w:t>
      </w:r>
    </w:p>
    <w:p>
      <w:pPr>
        <w:spacing w:before="156"/>
        <w:rPr>
          <w:bCs/>
        </w:rPr>
      </w:pPr>
      <w:r>
        <w:rPr>
          <w:rFonts w:hint="eastAsia"/>
          <w:bCs/>
        </w:rPr>
        <w:t>严格工业废水排放制度。加大重点工业企业环境监控力度，严格控制工业废水排放，全面提升、规范工业企业治理和污染控制水平。</w:t>
      </w:r>
    </w:p>
    <w:p>
      <w:pPr>
        <w:spacing w:before="156"/>
        <w:rPr>
          <w:bCs/>
        </w:rPr>
      </w:pPr>
      <w:r>
        <w:rPr>
          <w:rFonts w:hint="eastAsia"/>
          <w:bCs/>
        </w:rPr>
        <w:t>规范</w:t>
      </w:r>
      <w:r>
        <w:rPr>
          <w:bCs/>
        </w:rPr>
        <w:t>工业企业达标排放。</w:t>
      </w:r>
      <w:r>
        <w:rPr>
          <w:rFonts w:hint="eastAsia"/>
          <w:bCs/>
        </w:rPr>
        <w:t>对排放浓度达标的企业，通过实施总量控制等手段，确保污染物排放总量逐年削减。对新建、扩建、改建项目，严格控制新污染源的产生及污染物排放总量。</w:t>
      </w:r>
    </w:p>
    <w:p>
      <w:pPr>
        <w:pStyle w:val="4"/>
        <w:tabs>
          <w:tab w:val="left" w:pos="993"/>
          <w:tab w:val="clear" w:pos="1260"/>
        </w:tabs>
        <w:spacing w:before="312"/>
        <w:ind w:left="851" w:hanging="834"/>
      </w:pPr>
      <w:r>
        <w:rPr>
          <w:rFonts w:hint="eastAsia"/>
        </w:rPr>
        <w:t>固体废弃物规划</w:t>
      </w:r>
    </w:p>
    <w:p>
      <w:pPr>
        <w:pStyle w:val="131"/>
        <w:spacing w:before="156"/>
        <w:ind w:left="960"/>
      </w:pPr>
      <w:r>
        <w:rPr>
          <w:rFonts w:hint="eastAsia"/>
        </w:rPr>
        <w:t>（1）规划目标</w:t>
      </w:r>
    </w:p>
    <w:p>
      <w:pPr>
        <w:spacing w:before="156"/>
        <w:rPr>
          <w:bCs/>
        </w:rPr>
      </w:pPr>
      <w:r>
        <w:rPr>
          <w:rFonts w:hint="eastAsia"/>
          <w:bCs/>
        </w:rPr>
        <w:t>全市工业固体废物和生活垃圾污染问题得以解决，实现全市固体废物的无害化、资源化、减量化目标。</w:t>
      </w:r>
    </w:p>
    <w:p>
      <w:pPr>
        <w:pStyle w:val="131"/>
        <w:spacing w:before="156"/>
        <w:ind w:left="960"/>
      </w:pPr>
      <w:r>
        <w:rPr>
          <w:rFonts w:hint="eastAsia"/>
        </w:rPr>
        <w:t>（1）规划措施</w:t>
      </w:r>
    </w:p>
    <w:p>
      <w:pPr>
        <w:spacing w:before="156"/>
        <w:rPr>
          <w:bCs/>
        </w:rPr>
      </w:pPr>
      <w:r>
        <w:rPr>
          <w:rFonts w:hint="eastAsia"/>
          <w:bCs/>
        </w:rPr>
        <w:t>源头减排，创建以产业园区为主的废物再生利用循环体系。</w:t>
      </w:r>
    </w:p>
    <w:p>
      <w:pPr>
        <w:spacing w:before="156"/>
        <w:rPr>
          <w:bCs/>
        </w:rPr>
      </w:pPr>
      <w:r>
        <w:rPr>
          <w:rFonts w:hint="eastAsia"/>
          <w:bCs/>
        </w:rPr>
        <w:t>强化尾矿资源保护。提高开采回收率和选矿回收率。</w:t>
      </w:r>
    </w:p>
    <w:p>
      <w:pPr>
        <w:spacing w:before="156"/>
        <w:rPr>
          <w:bCs/>
        </w:rPr>
      </w:pPr>
      <w:r>
        <w:rPr>
          <w:rFonts w:hint="eastAsia"/>
          <w:bCs/>
        </w:rPr>
        <w:t>建设固体废弃物分选中心，对垃圾进行严格分选并加以利用。</w:t>
      </w:r>
    </w:p>
    <w:p>
      <w:pPr>
        <w:spacing w:before="156"/>
        <w:rPr>
          <w:bCs/>
        </w:rPr>
      </w:pPr>
      <w:r>
        <w:rPr>
          <w:rFonts w:hint="eastAsia"/>
          <w:bCs/>
        </w:rPr>
        <w:t>构建医疗废物的收集、运输、处置全过程环境监督管理体系。</w:t>
      </w:r>
    </w:p>
    <w:p>
      <w:pPr>
        <w:pStyle w:val="4"/>
        <w:tabs>
          <w:tab w:val="left" w:pos="993"/>
          <w:tab w:val="clear" w:pos="1260"/>
        </w:tabs>
        <w:spacing w:before="312"/>
        <w:ind w:left="851" w:hanging="834"/>
      </w:pPr>
      <w:r>
        <w:rPr>
          <w:rFonts w:hint="eastAsia"/>
        </w:rPr>
        <w:t>生态保护规划</w:t>
      </w:r>
    </w:p>
    <w:p>
      <w:pPr>
        <w:pStyle w:val="131"/>
        <w:spacing w:before="156"/>
        <w:ind w:left="960"/>
      </w:pPr>
      <w:r>
        <w:rPr>
          <w:rFonts w:hint="eastAsia"/>
        </w:rPr>
        <w:t>（1）生态安全格局</w:t>
      </w:r>
    </w:p>
    <w:p>
      <w:pPr>
        <w:spacing w:before="156"/>
        <w:rPr>
          <w:bCs/>
        </w:rPr>
      </w:pPr>
      <w:r>
        <w:rPr>
          <w:rFonts w:hint="eastAsia"/>
          <w:bCs/>
        </w:rPr>
        <w:t>规划“一带、两脉、五廊、六楔”的生态安全格局。</w:t>
      </w:r>
    </w:p>
    <w:p>
      <w:pPr>
        <w:spacing w:before="156"/>
        <w:rPr>
          <w:bCs/>
        </w:rPr>
      </w:pPr>
      <w:r>
        <w:rPr>
          <w:rFonts w:hint="eastAsia"/>
          <w:bCs/>
        </w:rPr>
        <w:t>一带：汾河流域带，生态功能为区域水源涵养、行洪保障、气候改善、生物多样性维持。</w:t>
      </w:r>
    </w:p>
    <w:p>
      <w:pPr>
        <w:spacing w:before="156"/>
        <w:rPr>
          <w:bCs/>
        </w:rPr>
      </w:pPr>
      <w:r>
        <w:rPr>
          <w:rFonts w:hint="eastAsia"/>
          <w:bCs/>
        </w:rPr>
        <w:t>两脉：太行山脉-太岳山脉，生态功能为区域生态屏障、水源涵养、水土保持、生物多样性维持。</w:t>
      </w:r>
    </w:p>
    <w:p>
      <w:pPr>
        <w:spacing w:before="156"/>
        <w:rPr>
          <w:bCs/>
        </w:rPr>
      </w:pPr>
      <w:r>
        <w:rPr>
          <w:rFonts w:hint="eastAsia"/>
          <w:bCs/>
        </w:rPr>
        <w:t>五廊：潇河、松溪河、清漳东源、清漳西源、浊漳北源等五条生态廊道，生态功能为城镇行洪保障、水源补给、水土涵养。</w:t>
      </w:r>
    </w:p>
    <w:p>
      <w:pPr>
        <w:spacing w:before="156"/>
        <w:rPr>
          <w:bCs/>
        </w:rPr>
      </w:pPr>
      <w:r>
        <w:rPr>
          <w:rFonts w:hint="eastAsia"/>
          <w:bCs/>
        </w:rPr>
        <w:t>六楔：连接汾河流域带与太岳山脉的六条生态绿楔，实现山水相通。</w:t>
      </w:r>
    </w:p>
    <w:p>
      <w:pPr>
        <w:pStyle w:val="131"/>
        <w:spacing w:before="156"/>
        <w:ind w:left="960"/>
      </w:pPr>
      <w:r>
        <w:rPr>
          <w:rFonts w:hint="eastAsia"/>
        </w:rPr>
        <w:t>（2）生态功能区划</w:t>
      </w:r>
    </w:p>
    <w:p>
      <w:pPr>
        <w:spacing w:before="156"/>
        <w:rPr>
          <w:bCs/>
        </w:rPr>
      </w:pPr>
      <w:r>
        <w:rPr>
          <w:rFonts w:hint="eastAsia"/>
          <w:bCs/>
        </w:rPr>
        <w:t>构建农业生态与环境保护区、水源涵养与生物多样性保护区、盆地城镇和农业生态区、煤炭开发与农业生态区等4个生态功能区。</w:t>
      </w:r>
    </w:p>
    <w:p>
      <w:pPr>
        <w:spacing w:before="156"/>
        <w:rPr>
          <w:bCs/>
        </w:rPr>
      </w:pPr>
      <w:r>
        <w:rPr>
          <w:rFonts w:hint="eastAsia"/>
          <w:bCs/>
        </w:rPr>
        <w:t>农业生态与环境保护区：位于晋中市北部，主要包括寿阳、昔阳等山区县市，为半干旱地区，主导生态功能为水土保持和生物多样性保护。</w:t>
      </w:r>
    </w:p>
    <w:p>
      <w:pPr>
        <w:spacing w:before="156"/>
        <w:rPr>
          <w:bCs/>
        </w:rPr>
      </w:pPr>
      <w:r>
        <w:rPr>
          <w:rFonts w:hint="eastAsia"/>
          <w:bCs/>
        </w:rPr>
        <w:t>水源涵养与生物多样性保护区：位于晋中市域中南部，主导生态功能为污染物消纳、水源涵养和水土保持。</w:t>
      </w:r>
    </w:p>
    <w:p>
      <w:pPr>
        <w:spacing w:before="156"/>
        <w:rPr>
          <w:bCs/>
        </w:rPr>
      </w:pPr>
      <w:r>
        <w:rPr>
          <w:rFonts w:hint="eastAsia"/>
          <w:bCs/>
        </w:rPr>
        <w:t>盆地城镇和农业生态区：位于晋中市城区-太谷-介休形成的城镇带范围内的农业地区。主导生态功能为产业发展与城市副食产品加工基地。</w:t>
      </w:r>
    </w:p>
    <w:p>
      <w:pPr>
        <w:spacing w:before="156"/>
        <w:rPr>
          <w:bCs/>
        </w:rPr>
      </w:pPr>
      <w:r>
        <w:rPr>
          <w:rFonts w:hint="eastAsia"/>
          <w:bCs/>
        </w:rPr>
        <w:t>煤炭开发与农业生态区：位于晋中市域的西南部，介休、灵石境内。主导生态功能为生态型农业发展区域与煤炭开发利用区域。发展生态农业、有机农业和节水农业；调整产业结构，整治区内污染型企业。</w:t>
      </w:r>
    </w:p>
    <w:p>
      <w:pPr>
        <w:pStyle w:val="131"/>
        <w:spacing w:before="156"/>
        <w:ind w:left="960"/>
        <w:rPr>
          <w:bCs/>
        </w:rPr>
      </w:pPr>
      <w:r>
        <w:rPr>
          <w:rFonts w:hint="eastAsia"/>
          <w:bCs/>
        </w:rPr>
        <w:t>（2）</w:t>
      </w:r>
      <w:r>
        <w:rPr>
          <w:rFonts w:hint="eastAsia"/>
        </w:rPr>
        <w:t>生态</w:t>
      </w:r>
      <w:r>
        <w:rPr>
          <w:rFonts w:hint="eastAsia"/>
          <w:bCs/>
        </w:rPr>
        <w:t>建设保护措施</w:t>
      </w:r>
    </w:p>
    <w:p>
      <w:pPr>
        <w:spacing w:before="156"/>
        <w:rPr>
          <w:bCs/>
        </w:rPr>
      </w:pPr>
      <w:r>
        <w:rPr>
          <w:rFonts w:hint="eastAsia"/>
          <w:bCs/>
        </w:rPr>
        <w:t>改革生态环境管理机制，完善监管污染物排放的环境保护管理制度。对造成生态环境损坏的责任者严格实行赔偿制度，依法追究刑事责任。</w:t>
      </w:r>
    </w:p>
    <w:p>
      <w:pPr>
        <w:spacing w:before="156"/>
        <w:rPr>
          <w:bCs/>
        </w:rPr>
      </w:pPr>
      <w:r>
        <w:rPr>
          <w:rFonts w:hint="eastAsia"/>
          <w:bCs/>
        </w:rPr>
        <w:t>统筹水资源的可持续利用与经济社会的可持续发展。实施用水总量控制，提高用水效率和效益，实现水资源的可持续利用；实施流域水环境的综合整治，全面提升水环境的承载能力。</w:t>
      </w:r>
    </w:p>
    <w:p>
      <w:pPr>
        <w:spacing w:before="156"/>
        <w:rPr>
          <w:bCs/>
        </w:rPr>
      </w:pPr>
      <w:r>
        <w:rPr>
          <w:rFonts w:hint="eastAsia"/>
          <w:bCs/>
        </w:rPr>
        <w:t>加速进行汾河流域生态工程建设。编制并严格执行汾河生态系统规划，将水环境治理和汾河流域生态建设相结合。</w:t>
      </w:r>
    </w:p>
    <w:p>
      <w:pPr>
        <w:pStyle w:val="4"/>
        <w:tabs>
          <w:tab w:val="left" w:pos="993"/>
          <w:tab w:val="clear" w:pos="1260"/>
        </w:tabs>
        <w:spacing w:before="312"/>
        <w:ind w:left="851" w:hanging="834"/>
      </w:pPr>
      <w:r>
        <w:rPr>
          <w:rFonts w:hint="eastAsia"/>
        </w:rPr>
        <w:t>重大环境工程保护规划</w:t>
      </w:r>
    </w:p>
    <w:p>
      <w:pPr>
        <w:pStyle w:val="131"/>
        <w:spacing w:before="156"/>
        <w:ind w:left="960"/>
      </w:pPr>
      <w:r>
        <w:rPr>
          <w:rFonts w:hint="eastAsia"/>
        </w:rPr>
        <w:t>（1）城镇排水规划目标</w:t>
      </w:r>
    </w:p>
    <w:p>
      <w:pPr>
        <w:spacing w:before="156"/>
        <w:rPr>
          <w:bCs/>
        </w:rPr>
      </w:pPr>
      <w:r>
        <w:rPr>
          <w:rFonts w:hint="eastAsia"/>
          <w:bCs/>
        </w:rPr>
        <w:t>以改善晋中市水资源结构，缓解水资源压力，提高水资源利用率，促进晋中市经济发展为目标，</w:t>
      </w:r>
      <w:r>
        <w:rPr>
          <w:bCs/>
        </w:rPr>
        <w:t>建成</w:t>
      </w:r>
      <w:r>
        <w:rPr>
          <w:rFonts w:hint="eastAsia"/>
          <w:bCs/>
        </w:rPr>
        <w:t>与城镇发展</w:t>
      </w:r>
      <w:r>
        <w:rPr>
          <w:bCs/>
        </w:rPr>
        <w:t>相适应的</w:t>
      </w:r>
      <w:r>
        <w:rPr>
          <w:rFonts w:hint="eastAsia"/>
          <w:bCs/>
        </w:rPr>
        <w:t>城镇</w:t>
      </w:r>
      <w:r>
        <w:rPr>
          <w:bCs/>
        </w:rPr>
        <w:t>污水收集处理与再生利用系统</w:t>
      </w:r>
      <w:r>
        <w:rPr>
          <w:rFonts w:hint="eastAsia"/>
          <w:bCs/>
        </w:rPr>
        <w:t>。至规划期末，城市</w:t>
      </w:r>
      <w:r>
        <w:rPr>
          <w:bCs/>
        </w:rPr>
        <w:t>污水处理率</w:t>
      </w:r>
      <w:r>
        <w:rPr>
          <w:rFonts w:hint="eastAsia"/>
          <w:bCs/>
        </w:rPr>
        <w:t>力争</w:t>
      </w:r>
      <w:r>
        <w:rPr>
          <w:bCs/>
        </w:rPr>
        <w:t>达到</w:t>
      </w:r>
      <w:r>
        <w:rPr>
          <w:rFonts w:hint="eastAsia"/>
          <w:bCs/>
        </w:rPr>
        <w:t>100%、县城污水处理率达到90%以上、建制镇污水处理率达到80%以上。</w:t>
      </w:r>
    </w:p>
    <w:p>
      <w:pPr>
        <w:pStyle w:val="131"/>
        <w:spacing w:before="156"/>
        <w:ind w:left="960"/>
      </w:pPr>
      <w:r>
        <w:rPr>
          <w:rFonts w:hint="eastAsia"/>
        </w:rPr>
        <w:t>（2）城镇污水处理厂规划</w:t>
      </w:r>
    </w:p>
    <w:p>
      <w:pPr>
        <w:spacing w:before="156"/>
        <w:rPr>
          <w:rFonts w:ascii="宋体" w:hAnsi="宋体"/>
        </w:rPr>
      </w:pPr>
      <w:r>
        <w:rPr>
          <w:rFonts w:hint="eastAsia" w:ascii="宋体" w:hAnsi="宋体"/>
        </w:rPr>
        <w:t>中心城区取消第一污水处理厂，扩建现状第二污水处理厂，新建高教园污水处理厂；扩建太谷、介休、寿阳、昔阳、和顺、榆社县城污水处理厂；新建祁县、左权县城污水处理厂；保留平遥、灵石现状污水处理厂，并各自新建一座污水处理厂。</w:t>
      </w:r>
    </w:p>
    <w:p>
      <w:pPr>
        <w:spacing w:before="156"/>
        <w:rPr>
          <w:bCs/>
        </w:rPr>
      </w:pPr>
      <w:r>
        <w:rPr>
          <w:rFonts w:hint="eastAsia" w:ascii="宋体" w:hAnsi="宋体"/>
        </w:rPr>
        <w:t>污水处理厂应考虑附近村镇生活污水接入的可能，排水管线布置时延伸至周边村镇，实现近郊村与中心城区基础设施共享，尽可能减少农村面源污染。</w:t>
      </w:r>
    </w:p>
    <w:p>
      <w:pPr>
        <w:pStyle w:val="131"/>
        <w:spacing w:before="156"/>
        <w:ind w:left="960"/>
        <w:rPr>
          <w:bCs/>
        </w:rPr>
      </w:pPr>
      <w:r>
        <w:rPr>
          <w:rFonts w:hint="eastAsia"/>
          <w:bCs/>
        </w:rPr>
        <w:t>（3）城镇环卫</w:t>
      </w:r>
      <w:r>
        <w:rPr>
          <w:rFonts w:hint="eastAsia"/>
        </w:rPr>
        <w:t>规划</w:t>
      </w:r>
      <w:r>
        <w:rPr>
          <w:rFonts w:hint="eastAsia"/>
          <w:bCs/>
        </w:rPr>
        <w:t>目标</w:t>
      </w:r>
    </w:p>
    <w:p>
      <w:pPr>
        <w:spacing w:before="156"/>
        <w:rPr>
          <w:rFonts w:ascii="宋体" w:hAnsi="宋体"/>
        </w:rPr>
      </w:pPr>
      <w:r>
        <w:rPr>
          <w:rFonts w:hint="eastAsia" w:ascii="宋体" w:hAnsi="宋体"/>
        </w:rPr>
        <w:t>通过建立完善的城市垃圾收运、处理和管理体系，基本实现固体废弃物处理无害化、减量化、资源化，环境卫生达到国内先进水平。</w:t>
      </w:r>
    </w:p>
    <w:p>
      <w:pPr>
        <w:spacing w:before="156"/>
        <w:rPr>
          <w:rFonts w:ascii="宋体" w:hAnsi="宋体"/>
        </w:rPr>
      </w:pPr>
      <w:r>
        <w:rPr>
          <w:rFonts w:hint="eastAsia" w:ascii="宋体" w:hAnsi="宋体"/>
        </w:rPr>
        <w:t>提高城乡环卫一体化管理水平，生活垃圾袋装化、密闭运输率：中心城区、太谷、介休、平遥达</w:t>
      </w:r>
      <w:r>
        <w:rPr>
          <w:rFonts w:hint="default" w:ascii="Times New Roman" w:hAnsi="Times New Roman" w:cs="Times New Roman"/>
        </w:rPr>
        <w:t>100%</w:t>
      </w:r>
      <w:r>
        <w:rPr>
          <w:rFonts w:hint="eastAsia" w:ascii="宋体" w:hAnsi="宋体"/>
        </w:rPr>
        <w:t>，其它县达</w:t>
      </w:r>
      <w:r>
        <w:rPr>
          <w:rFonts w:hint="default" w:ascii="Times New Roman" w:hAnsi="Times New Roman" w:cs="Times New Roman"/>
        </w:rPr>
        <w:t>90%</w:t>
      </w:r>
      <w:r>
        <w:rPr>
          <w:rFonts w:hint="eastAsia" w:ascii="宋体" w:hAnsi="宋体"/>
        </w:rPr>
        <w:t>以上；生活垃圾无害化处理率：中心城区、太谷、介休达100%，其它县达</w:t>
      </w:r>
      <w:r>
        <w:rPr>
          <w:rFonts w:hint="default" w:ascii="Times New Roman" w:hAnsi="Times New Roman" w:cs="Times New Roman"/>
        </w:rPr>
        <w:t>80%</w:t>
      </w:r>
      <w:r>
        <w:rPr>
          <w:rFonts w:hint="eastAsia" w:ascii="宋体" w:hAnsi="宋体"/>
        </w:rPr>
        <w:t>以上。</w:t>
      </w:r>
    </w:p>
    <w:p>
      <w:pPr>
        <w:spacing w:before="156"/>
        <w:rPr>
          <w:rFonts w:ascii="宋体" w:hAnsi="宋体"/>
        </w:rPr>
      </w:pPr>
      <w:r>
        <w:rPr>
          <w:rFonts w:hint="eastAsia" w:ascii="宋体" w:hAnsi="宋体"/>
        </w:rPr>
        <w:t>加强医疗废弃物管理，医疗废弃物统一收集、运输、处理率达</w:t>
      </w:r>
      <w:r>
        <w:rPr>
          <w:rFonts w:hint="default" w:ascii="Times New Roman" w:hAnsi="Times New Roman" w:cs="Times New Roman"/>
        </w:rPr>
        <w:t>100%</w:t>
      </w:r>
      <w:r>
        <w:rPr>
          <w:rFonts w:hint="eastAsia" w:ascii="宋体" w:hAnsi="宋体"/>
        </w:rPr>
        <w:t>。</w:t>
      </w:r>
    </w:p>
    <w:p>
      <w:pPr>
        <w:spacing w:before="156"/>
        <w:rPr>
          <w:bCs/>
        </w:rPr>
      </w:pPr>
      <w:r>
        <w:rPr>
          <w:rFonts w:hint="eastAsia" w:ascii="宋体" w:hAnsi="宋体"/>
        </w:rPr>
        <w:t>提高环卫作业机械化水平，城市主干道机械化清扫率：市城区、太谷、介休达</w:t>
      </w:r>
      <w:r>
        <w:rPr>
          <w:rFonts w:hint="default" w:ascii="Times New Roman" w:hAnsi="Times New Roman" w:cs="Times New Roman"/>
        </w:rPr>
        <w:t>80%</w:t>
      </w:r>
      <w:r>
        <w:rPr>
          <w:rFonts w:hint="eastAsia" w:ascii="宋体" w:hAnsi="宋体"/>
        </w:rPr>
        <w:t>以上，其它县达</w:t>
      </w:r>
      <w:r>
        <w:rPr>
          <w:rFonts w:hint="default" w:ascii="Times New Roman" w:hAnsi="Times New Roman" w:cs="Times New Roman"/>
        </w:rPr>
        <w:t>60%</w:t>
      </w:r>
      <w:r>
        <w:rPr>
          <w:rFonts w:hint="eastAsia" w:ascii="宋体" w:hAnsi="宋体"/>
        </w:rPr>
        <w:t>以上。</w:t>
      </w:r>
    </w:p>
    <w:p>
      <w:pPr>
        <w:pStyle w:val="131"/>
        <w:spacing w:before="156"/>
        <w:ind w:left="960"/>
        <w:rPr>
          <w:bCs/>
        </w:rPr>
      </w:pPr>
      <w:r>
        <w:rPr>
          <w:rFonts w:hint="eastAsia"/>
          <w:bCs/>
        </w:rPr>
        <w:t>（4）城镇环卫设施规划</w:t>
      </w:r>
    </w:p>
    <w:p>
      <w:pPr>
        <w:spacing w:before="156"/>
      </w:pPr>
      <w:r>
        <w:rPr>
          <w:bCs/>
        </w:rPr>
        <w:t>进一步完善</w:t>
      </w:r>
      <w:r>
        <w:rPr>
          <w:rFonts w:hint="eastAsia"/>
          <w:bCs/>
        </w:rPr>
        <w:t>晋中市</w:t>
      </w:r>
      <w:r>
        <w:rPr>
          <w:bCs/>
        </w:rPr>
        <w:t>中心城区</w:t>
      </w:r>
      <w:r>
        <w:rPr>
          <w:rFonts w:hint="eastAsia"/>
          <w:bCs/>
        </w:rPr>
        <w:t>杨梁</w:t>
      </w:r>
      <w:r>
        <w:rPr>
          <w:bCs/>
        </w:rPr>
        <w:t>村</w:t>
      </w:r>
      <w:r>
        <w:rPr>
          <w:rFonts w:hint="eastAsia"/>
          <w:bCs/>
        </w:rPr>
        <w:t>综合</w:t>
      </w:r>
      <w:r>
        <w:rPr>
          <w:bCs/>
        </w:rPr>
        <w:t>垃圾处理场的处理设施及规模，以满足中心城区及周边乡镇的垃圾处理需求。规划在</w:t>
      </w:r>
      <w:r>
        <w:rPr>
          <w:rFonts w:hint="eastAsia"/>
          <w:bCs/>
        </w:rPr>
        <w:t>其余各县市</w:t>
      </w:r>
      <w:r>
        <w:rPr>
          <w:bCs/>
        </w:rPr>
        <w:t>建设</w:t>
      </w:r>
      <w:r>
        <w:rPr>
          <w:rFonts w:hint="eastAsia"/>
          <w:bCs/>
        </w:rPr>
        <w:t>综合</w:t>
      </w:r>
      <w:r>
        <w:rPr>
          <w:bCs/>
        </w:rPr>
        <w:t>垃圾</w:t>
      </w:r>
      <w:r>
        <w:rPr>
          <w:rFonts w:hint="eastAsia"/>
          <w:bCs/>
        </w:rPr>
        <w:t>处理</w:t>
      </w:r>
      <w:r>
        <w:rPr>
          <w:bCs/>
        </w:rPr>
        <w:t>填埋厂，对中心城区及周边</w:t>
      </w:r>
      <w:r>
        <w:rPr>
          <w:rFonts w:hint="eastAsia"/>
          <w:bCs/>
        </w:rPr>
        <w:t>县城</w:t>
      </w:r>
      <w:r>
        <w:rPr>
          <w:bCs/>
        </w:rPr>
        <w:t>生活垃圾进行无害化处理。</w:t>
      </w:r>
    </w:p>
    <w:p>
      <w:pPr>
        <w:pStyle w:val="3"/>
        <w:spacing w:before="156" w:after="156"/>
        <w:rPr>
          <w:rStyle w:val="52"/>
          <w:b w:val="0"/>
          <w:color w:val="auto"/>
          <w:u w:val="none"/>
        </w:rPr>
      </w:pPr>
      <w:bookmarkStart w:id="181" w:name="_Toc492850101"/>
      <w:r>
        <w:rPr>
          <w:rStyle w:val="52"/>
          <w:rFonts w:hint="eastAsia"/>
          <w:b w:val="0"/>
          <w:color w:val="auto"/>
          <w:u w:val="none"/>
        </w:rPr>
        <w:t>第十二节 市域综合防灾减灾规划</w:t>
      </w:r>
      <w:bookmarkEnd w:id="181"/>
    </w:p>
    <w:p>
      <w:pPr>
        <w:pStyle w:val="4"/>
        <w:tabs>
          <w:tab w:val="left" w:pos="993"/>
          <w:tab w:val="clear" w:pos="1260"/>
        </w:tabs>
        <w:spacing w:before="312"/>
        <w:ind w:left="851" w:hanging="834"/>
      </w:pPr>
      <w:r>
        <w:rPr>
          <w:rFonts w:hint="eastAsia"/>
        </w:rPr>
        <w:t>防洪规划</w:t>
      </w:r>
    </w:p>
    <w:p>
      <w:pPr>
        <w:pStyle w:val="131"/>
        <w:spacing w:before="156"/>
        <w:ind w:left="960"/>
        <w:rPr>
          <w:bCs/>
        </w:rPr>
      </w:pPr>
      <w:r>
        <w:rPr>
          <w:rFonts w:hint="eastAsia"/>
          <w:bCs/>
        </w:rPr>
        <w:t>（1）防洪标准</w:t>
      </w:r>
    </w:p>
    <w:p>
      <w:pPr>
        <w:spacing w:before="156"/>
        <w:rPr>
          <w:bCs/>
        </w:rPr>
      </w:pPr>
      <w:r>
        <w:rPr>
          <w:bCs/>
        </w:rPr>
        <w:t>流经城区时汾河防洪标准为100年一遇，其它地区汾河防洪标准为50年一遇。</w:t>
      </w:r>
    </w:p>
    <w:p>
      <w:pPr>
        <w:spacing w:before="156"/>
        <w:rPr>
          <w:bCs/>
        </w:rPr>
      </w:pPr>
      <w:r>
        <w:rPr>
          <w:bCs/>
        </w:rPr>
        <w:t>潇河晋中城区段防洪标准为</w:t>
      </w:r>
      <w:r>
        <w:rPr>
          <w:rFonts w:hint="eastAsia"/>
          <w:bCs/>
        </w:rPr>
        <w:t>100</w:t>
      </w:r>
      <w:r>
        <w:rPr>
          <w:bCs/>
        </w:rPr>
        <w:t>年一遇，其它河段防洪标准为</w:t>
      </w:r>
      <w:r>
        <w:rPr>
          <w:rFonts w:hint="eastAsia"/>
          <w:bCs/>
        </w:rPr>
        <w:t>50</w:t>
      </w:r>
      <w:r>
        <w:rPr>
          <w:bCs/>
        </w:rPr>
        <w:t>年一遇。</w:t>
      </w:r>
    </w:p>
    <w:p>
      <w:pPr>
        <w:spacing w:before="156"/>
        <w:rPr>
          <w:bCs/>
        </w:rPr>
      </w:pPr>
      <w:r>
        <w:rPr>
          <w:bCs/>
        </w:rPr>
        <w:t>城市山洪</w:t>
      </w:r>
      <w:r>
        <w:rPr>
          <w:rFonts w:hint="eastAsia"/>
          <w:bCs/>
        </w:rPr>
        <w:t>截洪沟</w:t>
      </w:r>
      <w:r>
        <w:rPr>
          <w:bCs/>
        </w:rPr>
        <w:t>防洪标准为</w:t>
      </w:r>
      <w:r>
        <w:rPr>
          <w:rFonts w:hint="eastAsia"/>
          <w:bCs/>
        </w:rPr>
        <w:t>50</w:t>
      </w:r>
      <w:r>
        <w:rPr>
          <w:bCs/>
        </w:rPr>
        <w:t>年一遇</w:t>
      </w:r>
      <w:r>
        <w:rPr>
          <w:rFonts w:hint="eastAsia"/>
          <w:bCs/>
        </w:rPr>
        <w:t>。</w:t>
      </w:r>
    </w:p>
    <w:p>
      <w:pPr>
        <w:pStyle w:val="131"/>
        <w:spacing w:before="156"/>
        <w:ind w:left="960"/>
        <w:rPr>
          <w:bCs/>
        </w:rPr>
      </w:pPr>
      <w:r>
        <w:rPr>
          <w:rFonts w:hint="eastAsia"/>
          <w:bCs/>
        </w:rPr>
        <w:t>（2）防洪措施</w:t>
      </w:r>
    </w:p>
    <w:p>
      <w:pPr>
        <w:spacing w:before="156"/>
        <w:rPr>
          <w:bCs/>
        </w:rPr>
      </w:pPr>
      <w:r>
        <w:rPr>
          <w:bCs/>
        </w:rPr>
        <w:t>在流域上游通过水土保持和修建调洪水库，控制和调节洪峰流量，减轻下游防洪的压力，在下游有条件的地区建设蓄滞洪区以削减洪水峰量。</w:t>
      </w:r>
    </w:p>
    <w:p>
      <w:pPr>
        <w:spacing w:before="156"/>
        <w:rPr>
          <w:bCs/>
        </w:rPr>
      </w:pPr>
      <w:r>
        <w:rPr>
          <w:bCs/>
        </w:rPr>
        <w:t>完善城镇防洪工程设施，对防洪河岸进行加固加高，形成建设标准适度、功能合理的防洪工程体系。</w:t>
      </w:r>
    </w:p>
    <w:p>
      <w:pPr>
        <w:spacing w:before="156"/>
        <w:rPr>
          <w:bCs/>
        </w:rPr>
      </w:pPr>
      <w:r>
        <w:rPr>
          <w:bCs/>
        </w:rPr>
        <w:t>加强对山洪的防治。疏浚排洪渠，因地制宜建设截洪沟等措施，同时采取植树造林等生态修复措施，</w:t>
      </w:r>
      <w:r>
        <w:rPr>
          <w:rFonts w:hint="eastAsia"/>
          <w:bCs/>
        </w:rPr>
        <w:t>达到</w:t>
      </w:r>
      <w:r>
        <w:rPr>
          <w:bCs/>
        </w:rPr>
        <w:t>防治水土流失并减少洪峰流量的目的。</w:t>
      </w:r>
    </w:p>
    <w:p>
      <w:pPr>
        <w:spacing w:before="156"/>
        <w:rPr>
          <w:bCs/>
        </w:rPr>
      </w:pPr>
      <w:r>
        <w:rPr>
          <w:bCs/>
        </w:rPr>
        <w:t>对市域内的水库实施除险保安工程，避免和减少水库安全隐患，增加水库防洪和水资源的调节能力。</w:t>
      </w:r>
    </w:p>
    <w:p>
      <w:pPr>
        <w:pStyle w:val="4"/>
        <w:tabs>
          <w:tab w:val="left" w:pos="993"/>
          <w:tab w:val="clear" w:pos="1260"/>
        </w:tabs>
        <w:spacing w:before="312"/>
        <w:ind w:left="851" w:hanging="834"/>
      </w:pPr>
      <w:r>
        <w:rPr>
          <w:rFonts w:hint="eastAsia"/>
        </w:rPr>
        <w:t>抗震减灾规划</w:t>
      </w:r>
    </w:p>
    <w:p>
      <w:pPr>
        <w:pStyle w:val="131"/>
        <w:spacing w:before="156"/>
        <w:ind w:left="960"/>
        <w:rPr>
          <w:bCs/>
        </w:rPr>
      </w:pPr>
      <w:r>
        <w:rPr>
          <w:rFonts w:hint="eastAsia"/>
          <w:bCs/>
        </w:rPr>
        <w:t>（1）规划目标</w:t>
      </w:r>
    </w:p>
    <w:p>
      <w:pPr>
        <w:spacing w:before="156"/>
      </w:pPr>
      <w:r>
        <w:rPr>
          <w:rFonts w:hint="eastAsia"/>
        </w:rPr>
        <w:t>采用“预防为主，防、抗、避、救相结合”的方针，规划建设避难空间、防灾通道，形成市域完整的防灾避难网络，提高地震预警监测能力和震后应急救援能力。</w:t>
      </w:r>
    </w:p>
    <w:p>
      <w:pPr>
        <w:pStyle w:val="131"/>
        <w:spacing w:before="156"/>
        <w:ind w:left="960"/>
        <w:rPr>
          <w:bCs/>
        </w:rPr>
      </w:pPr>
      <w:r>
        <w:rPr>
          <w:rFonts w:hint="eastAsia"/>
          <w:bCs/>
        </w:rPr>
        <w:t>（2）设防标准</w:t>
      </w:r>
    </w:p>
    <w:p>
      <w:pPr>
        <w:spacing w:before="156"/>
        <w:rPr>
          <w:b/>
        </w:rPr>
      </w:pPr>
      <w:r>
        <w:rPr>
          <w:rFonts w:hint="eastAsia"/>
        </w:rPr>
        <w:t>榆次区、太谷县、祁县、平遥县、介休市地震基本烈度为VIII；左权县城地震基本烈度为VI度；左权县其它区域、寿阳县、昔阳县、和顺县、榆社县地震基本烈度为VII；</w:t>
      </w:r>
      <w:r>
        <w:rPr>
          <w:rFonts w:hint="eastAsia" w:ascii="宋体" w:hAnsi="宋体"/>
        </w:rPr>
        <w:t>学校、医院等人员密集场所及各生命线工程应提高一度设防。</w:t>
      </w:r>
    </w:p>
    <w:p>
      <w:pPr>
        <w:pStyle w:val="131"/>
        <w:spacing w:before="156"/>
        <w:ind w:left="960"/>
        <w:rPr>
          <w:bCs/>
        </w:rPr>
      </w:pPr>
      <w:r>
        <w:rPr>
          <w:rFonts w:hint="eastAsia"/>
          <w:bCs/>
        </w:rPr>
        <w:t>（3）规划措施</w:t>
      </w:r>
    </w:p>
    <w:p>
      <w:pPr>
        <w:spacing w:before="156"/>
        <w:rPr>
          <w:bCs/>
        </w:rPr>
      </w:pPr>
      <w:r>
        <w:rPr>
          <w:rFonts w:hint="eastAsia"/>
          <w:bCs/>
        </w:rPr>
        <w:t>全面提升地震监测能力。加强地震监测网点、强震动设施及强震观测点建设；推进地震宏观测报网、地震灾情速报网、防灾减灾知识宣传网和防震减灾信息员的“三网一员”建设。</w:t>
      </w:r>
    </w:p>
    <w:p>
      <w:pPr>
        <w:spacing w:before="156"/>
        <w:rPr>
          <w:bCs/>
        </w:rPr>
      </w:pPr>
      <w:r>
        <w:rPr>
          <w:rFonts w:hint="eastAsia"/>
          <w:bCs/>
        </w:rPr>
        <w:t>建立城乡震害综合防御系统。开展城市地震小区划、城市活断层探测及震害预测等工作，建立城市地震基础信息数据库、震害预测数据库；积极推进农村居民地震安全示范工程建设。</w:t>
      </w:r>
    </w:p>
    <w:p>
      <w:pPr>
        <w:spacing w:before="156"/>
        <w:rPr>
          <w:b/>
        </w:rPr>
      </w:pPr>
      <w:r>
        <w:rPr>
          <w:rFonts w:hint="eastAsia"/>
          <w:bCs/>
        </w:rPr>
        <w:t>大力推进地震应急救援能力建设。规划将体育馆、学校、医院和公园绿地作为避震疏散场所，配备必要的物资和设备；完善应急物资储备体系建设。</w:t>
      </w:r>
    </w:p>
    <w:p>
      <w:pPr>
        <w:pStyle w:val="4"/>
        <w:tabs>
          <w:tab w:val="left" w:pos="993"/>
          <w:tab w:val="clear" w:pos="1260"/>
        </w:tabs>
        <w:spacing w:before="312"/>
        <w:ind w:left="851" w:hanging="834"/>
      </w:pPr>
      <w:r>
        <w:rPr>
          <w:rFonts w:hint="eastAsia"/>
        </w:rPr>
        <w:t>消防规划</w:t>
      </w:r>
    </w:p>
    <w:p>
      <w:pPr>
        <w:pStyle w:val="131"/>
        <w:spacing w:before="156"/>
        <w:ind w:left="960"/>
        <w:rPr>
          <w:bCs/>
        </w:rPr>
      </w:pPr>
      <w:r>
        <w:rPr>
          <w:rFonts w:hint="eastAsia"/>
          <w:bCs/>
        </w:rPr>
        <w:t>（1）规划目标</w:t>
      </w:r>
    </w:p>
    <w:p>
      <w:pPr>
        <w:spacing w:before="156"/>
      </w:pPr>
      <w:r>
        <w:rPr>
          <w:rFonts w:hint="eastAsia"/>
        </w:rPr>
        <w:t>系统化、规范化进行消防站和消防道路畅通工程建设，提高消防通达能力。加快消防系统信息化建设，提高消防应急响应能力。</w:t>
      </w:r>
    </w:p>
    <w:p>
      <w:pPr>
        <w:pStyle w:val="131"/>
        <w:spacing w:before="156"/>
        <w:ind w:left="960"/>
        <w:rPr>
          <w:bCs/>
        </w:rPr>
      </w:pPr>
      <w:r>
        <w:rPr>
          <w:rFonts w:hint="eastAsia"/>
          <w:bCs/>
        </w:rPr>
        <w:t>（2）防护重点</w:t>
      </w:r>
    </w:p>
    <w:p>
      <w:pPr>
        <w:spacing w:before="156"/>
        <w:rPr>
          <w:rFonts w:ascii="宋体" w:hAnsi="宋体"/>
        </w:rPr>
      </w:pPr>
      <w:r>
        <w:rPr>
          <w:rFonts w:hint="eastAsia" w:ascii="宋体" w:hAnsi="宋体"/>
        </w:rPr>
        <w:t>重点消防单位包括商场、宾馆、公共娱乐场所等公众聚集场所；国家机关、基础设施、公共设施、市政设施；易燃易爆化学物品的生产、充装、储存、供应、销售单位；以及电厂、古建筑群等。</w:t>
      </w:r>
    </w:p>
    <w:p>
      <w:pPr>
        <w:pStyle w:val="131"/>
        <w:spacing w:before="156"/>
        <w:ind w:left="960"/>
        <w:rPr>
          <w:bCs/>
        </w:rPr>
      </w:pPr>
      <w:r>
        <w:rPr>
          <w:rFonts w:hint="eastAsia"/>
          <w:bCs/>
        </w:rPr>
        <w:t>（3）规划措施</w:t>
      </w:r>
    </w:p>
    <w:p>
      <w:pPr>
        <w:spacing w:before="156"/>
        <w:rPr>
          <w:bCs/>
        </w:rPr>
      </w:pPr>
      <w:r>
        <w:rPr>
          <w:rFonts w:hint="eastAsia"/>
          <w:bCs/>
        </w:rPr>
        <w:t>加强重点消防单位的消防力量部署。公安消防站、各县政府专职消防站及企业专职消防站建设应达到《城市消防站建设标准》要求。</w:t>
      </w:r>
    </w:p>
    <w:p>
      <w:pPr>
        <w:spacing w:before="156"/>
        <w:rPr>
          <w:bCs/>
        </w:rPr>
      </w:pPr>
      <w:r>
        <w:rPr>
          <w:rFonts w:hint="eastAsia"/>
          <w:bCs/>
        </w:rPr>
        <w:t>加强消防水源建设。以市政供水系统为主要水源，市政水源不足的区域，应增设消防水池。</w:t>
      </w:r>
    </w:p>
    <w:p>
      <w:pPr>
        <w:spacing w:before="156"/>
        <w:rPr>
          <w:bCs/>
        </w:rPr>
      </w:pPr>
      <w:r>
        <w:rPr>
          <w:rFonts w:hint="eastAsia"/>
          <w:bCs/>
        </w:rPr>
        <w:t>完善消防系统信息化建设。以现状晋中市消防指挥中心为基础，完善城市消防联动系统、火灾报警与自动报警监控系统、有线通信系统、无线通信系统、图像传输系统、卫星定位综合集成系统的建设。</w:t>
      </w:r>
    </w:p>
    <w:p>
      <w:pPr>
        <w:pStyle w:val="4"/>
        <w:tabs>
          <w:tab w:val="left" w:pos="993"/>
          <w:tab w:val="clear" w:pos="1260"/>
        </w:tabs>
        <w:spacing w:before="312"/>
        <w:ind w:left="851" w:hanging="834"/>
      </w:pPr>
      <w:r>
        <w:rPr>
          <w:rFonts w:hint="eastAsia"/>
        </w:rPr>
        <w:t>地质灾害防治规划</w:t>
      </w:r>
    </w:p>
    <w:p>
      <w:pPr>
        <w:pStyle w:val="131"/>
        <w:spacing w:before="156"/>
        <w:ind w:left="960"/>
        <w:rPr>
          <w:bCs/>
        </w:rPr>
      </w:pPr>
      <w:r>
        <w:rPr>
          <w:rFonts w:hint="eastAsia"/>
          <w:bCs/>
        </w:rPr>
        <w:t>（1）规划目标</w:t>
      </w:r>
    </w:p>
    <w:p>
      <w:pPr>
        <w:spacing w:before="156"/>
        <w:rPr>
          <w:bCs/>
        </w:rPr>
      </w:pPr>
      <w:r>
        <w:rPr>
          <w:rFonts w:hint="eastAsia"/>
          <w:bCs/>
        </w:rPr>
        <w:t>建立地质灾害防治、监督和管理体制，严格控制人为诱发地质灾害的发生；建立完善的全市地质灾害应急机制；对存在严重地质灾害危险的区域和主要经济区进行地质灾害危险性预测评估，危害严重的地质灾害点得以治理。</w:t>
      </w:r>
    </w:p>
    <w:p>
      <w:pPr>
        <w:pStyle w:val="131"/>
        <w:spacing w:before="156"/>
        <w:ind w:left="960"/>
        <w:rPr>
          <w:bCs/>
        </w:rPr>
      </w:pPr>
      <w:r>
        <w:rPr>
          <w:rFonts w:hint="eastAsia"/>
          <w:bCs/>
        </w:rPr>
        <w:t>（2）规划措施</w:t>
      </w:r>
    </w:p>
    <w:p>
      <w:pPr>
        <w:spacing w:before="156"/>
        <w:rPr>
          <w:bCs/>
        </w:rPr>
      </w:pPr>
      <w:r>
        <w:rPr>
          <w:rFonts w:hint="eastAsia"/>
          <w:bCs/>
        </w:rPr>
        <w:t>加强城镇建设用地的工程地质勘查，并进行建设用地地质灾害危险性评估，重点防治地裂缝、地面塌陷、滑坡、崩塌等地质灾害。</w:t>
      </w:r>
    </w:p>
    <w:p>
      <w:pPr>
        <w:spacing w:before="156"/>
        <w:rPr>
          <w:bCs/>
        </w:rPr>
      </w:pPr>
      <w:r>
        <w:rPr>
          <w:rFonts w:hint="eastAsia"/>
          <w:bCs/>
        </w:rPr>
        <w:t>平川地区应严格控制地下水的开采，避免和减缓地裂缝和地面下沉现象。对地质构造等自然因素造成的地裂缝、地面塌陷，应采取避让措施。</w:t>
      </w:r>
    </w:p>
    <w:p>
      <w:pPr>
        <w:spacing w:before="156"/>
      </w:pPr>
      <w:r>
        <w:rPr>
          <w:rFonts w:hint="eastAsia"/>
          <w:bCs/>
        </w:rPr>
        <w:t>对现状岩体崩塌和山体滑坡地质灾害突出地区，应采取清除危岩体并进行削坡、护坡等措施。</w:t>
      </w:r>
    </w:p>
    <w:p>
      <w:pPr>
        <w:pStyle w:val="3"/>
        <w:spacing w:before="156" w:after="156"/>
        <w:rPr>
          <w:rStyle w:val="52"/>
          <w:b w:val="0"/>
          <w:color w:val="auto"/>
          <w:u w:val="none"/>
        </w:rPr>
      </w:pPr>
      <w:bookmarkStart w:id="182" w:name="_Toc277460736"/>
      <w:bookmarkStart w:id="183" w:name="_Toc277459699"/>
      <w:bookmarkStart w:id="184" w:name="_Toc275417941"/>
      <w:bookmarkStart w:id="185" w:name="_Toc275418500"/>
      <w:bookmarkStart w:id="186" w:name="_Toc277460579"/>
      <w:bookmarkStart w:id="187" w:name="_Toc277460893"/>
      <w:bookmarkStart w:id="188" w:name="_Toc492850102"/>
      <w:bookmarkStart w:id="189" w:name="_Toc277460146"/>
      <w:r>
        <w:rPr>
          <w:rStyle w:val="52"/>
          <w:rFonts w:hint="eastAsia"/>
          <w:b w:val="0"/>
          <w:color w:val="auto"/>
          <w:u w:val="none"/>
        </w:rPr>
        <w:t>第十三节 市域空间管制</w:t>
      </w:r>
      <w:bookmarkEnd w:id="182"/>
      <w:bookmarkEnd w:id="183"/>
      <w:bookmarkEnd w:id="184"/>
      <w:bookmarkEnd w:id="185"/>
      <w:bookmarkEnd w:id="186"/>
      <w:bookmarkEnd w:id="187"/>
      <w:bookmarkEnd w:id="188"/>
      <w:bookmarkEnd w:id="189"/>
    </w:p>
    <w:p>
      <w:pPr>
        <w:pStyle w:val="4"/>
        <w:tabs>
          <w:tab w:val="left" w:pos="993"/>
          <w:tab w:val="clear" w:pos="1260"/>
        </w:tabs>
        <w:spacing w:before="312"/>
        <w:ind w:left="851" w:hanging="834"/>
      </w:pPr>
      <w:r>
        <w:rPr>
          <w:rFonts w:hint="eastAsia"/>
        </w:rPr>
        <w:t>禁建区</w:t>
      </w:r>
    </w:p>
    <w:p>
      <w:pPr>
        <w:spacing w:before="156"/>
        <w:rPr>
          <w:b/>
          <w:bCs/>
          <w:u w:val="single"/>
        </w:rPr>
      </w:pPr>
      <w:r>
        <w:rPr>
          <w:rFonts w:hint="eastAsia"/>
          <w:b/>
          <w:bCs/>
          <w:u w:val="single"/>
        </w:rPr>
        <w:t>包括各级水库水源一级保护区、城镇饮用水源一级保护区、河流和水库等水域和湿地、城镇规划建设用地范围以外的基本农田、自然保护区核心区和缓冲区、风景名胜区核心区、历史文化遗产保护区、森林公园核心景区、地质危险区、山地生态保护区、蓄滞洪区、交通干线及其他市政基础设施防护控制范围等与城市和区域生态环境保护、资源保护、公共安全等密切相关的区域，该类区域内禁止安排与保护无关的建设项目。</w:t>
      </w:r>
      <w:r>
        <w:rPr>
          <w:rFonts w:hint="eastAsia"/>
          <w:b/>
          <w:u w:val="single"/>
        </w:rPr>
        <w:t>重点管控地区的具体管控要求如下：</w:t>
      </w:r>
    </w:p>
    <w:p>
      <w:pPr>
        <w:spacing w:before="156"/>
        <w:rPr>
          <w:b/>
          <w:bCs/>
          <w:u w:val="single"/>
        </w:rPr>
      </w:pPr>
      <w:r>
        <w:rPr>
          <w:rFonts w:hint="eastAsia"/>
          <w:b/>
          <w:bCs/>
          <w:u w:val="single"/>
        </w:rPr>
        <w:t>（1）各级水库及各城镇饮用水源地一级保护区内禁止新建、改建、扩建与供水设施和水源保护无关的建设项目。</w:t>
      </w:r>
    </w:p>
    <w:p>
      <w:pPr>
        <w:spacing w:before="156"/>
        <w:rPr>
          <w:b/>
          <w:bCs/>
          <w:u w:val="single"/>
        </w:rPr>
      </w:pPr>
      <w:r>
        <w:rPr>
          <w:rFonts w:hint="eastAsia"/>
          <w:b/>
          <w:bCs/>
          <w:u w:val="single"/>
        </w:rPr>
        <w:t>（2）市域范围内25°以上坡耕地实施退耕还林还草工程，并对水土流失区域加快生态治理，积极恢复自然生态。</w:t>
      </w:r>
    </w:p>
    <w:p>
      <w:pPr>
        <w:spacing w:before="156"/>
        <w:rPr>
          <w:b/>
          <w:bCs/>
          <w:u w:val="single"/>
        </w:rPr>
      </w:pPr>
      <w:r>
        <w:rPr>
          <w:rFonts w:hint="eastAsia"/>
          <w:b/>
          <w:bCs/>
          <w:u w:val="single"/>
        </w:rPr>
        <w:t>（3）在市域范围内自然保护区的核心区和缓冲区、森林公园的核心景区、风景名胜区的核心区、文物保护单位保护范围等重要的自然与历史文化遗产保护区内禁止进行与资源保护无关的各类开发建设活动。</w:t>
      </w:r>
    </w:p>
    <w:p>
      <w:pPr>
        <w:spacing w:before="156"/>
        <w:rPr>
          <w:b/>
          <w:bCs/>
          <w:u w:val="single"/>
        </w:rPr>
      </w:pPr>
      <w:r>
        <w:rPr>
          <w:rFonts w:hint="eastAsia"/>
          <w:b/>
          <w:bCs/>
          <w:u w:val="single"/>
        </w:rPr>
        <w:t>（4）城乡建设活动应避开滑坡、泥石流、崩塌、矿山采空塌陷等地质灾害危险区，对现状位于地质灾害危险区内的居民点应加快搬迁，积极恢复与改善生态环境，并采取必要的工程技术措施降低或消除灾害对各类活动的影响。</w:t>
      </w:r>
    </w:p>
    <w:p>
      <w:pPr>
        <w:spacing w:before="156"/>
        <w:rPr>
          <w:b/>
          <w:bCs/>
          <w:u w:val="single"/>
        </w:rPr>
      </w:pPr>
      <w:r>
        <w:rPr>
          <w:rFonts w:hint="eastAsia"/>
          <w:b/>
          <w:u w:val="single"/>
        </w:rPr>
        <w:t>（5）加强基本农田保护，禁止占用基本农田进行各类城乡建设活动。</w:t>
      </w:r>
    </w:p>
    <w:p>
      <w:pPr>
        <w:pStyle w:val="4"/>
        <w:tabs>
          <w:tab w:val="left" w:pos="993"/>
          <w:tab w:val="clear" w:pos="1260"/>
        </w:tabs>
        <w:spacing w:before="312"/>
        <w:ind w:left="851" w:hanging="834"/>
      </w:pPr>
      <w:r>
        <w:rPr>
          <w:rFonts w:hint="eastAsia"/>
        </w:rPr>
        <w:t>限建区</w:t>
      </w:r>
    </w:p>
    <w:p>
      <w:pPr>
        <w:spacing w:before="156"/>
      </w:pPr>
      <w:r>
        <w:rPr>
          <w:rFonts w:hint="eastAsia"/>
        </w:rPr>
        <w:t>限建区是自然条件较好的生态重点保护地区和敏感地区，以及城镇规划建设用地范围内的基本农田，不宜安排城镇开发建设项目。城镇建设用地的选择应尽可能避让限建区，确有必要进行建设的应遵循保护优先、限制开发的原则。</w:t>
      </w:r>
      <w:r>
        <w:rPr>
          <w:rFonts w:hint="eastAsia"/>
          <w:b/>
          <w:u w:val="single"/>
        </w:rPr>
        <w:t>在限建区内进行建设应科学确定项目性质、开发模式和建设强度，制定相应的生态补偿措施，并依据限制性要素的不同，严格遵守国家、省、市及相关的法律、法规和规章。</w:t>
      </w:r>
    </w:p>
    <w:p>
      <w:pPr>
        <w:pStyle w:val="4"/>
        <w:tabs>
          <w:tab w:val="left" w:pos="993"/>
          <w:tab w:val="clear" w:pos="1260"/>
        </w:tabs>
        <w:spacing w:before="312"/>
        <w:ind w:left="851" w:hanging="834"/>
      </w:pPr>
      <w:r>
        <w:rPr>
          <w:rFonts w:hint="eastAsia"/>
        </w:rPr>
        <w:t>适建区</w:t>
      </w:r>
    </w:p>
    <w:p>
      <w:pPr>
        <w:spacing w:before="156"/>
      </w:pPr>
      <w:r>
        <w:rPr>
          <w:rFonts w:hint="eastAsia"/>
        </w:rPr>
        <w:t>除禁建区和限建区以外的地区为适建区，在适建区进行城镇建设应遵循节约集约的原则合理利用土地，保护环境，建设行为要根据资源环境条件，科学合理地确定开发模式、规模和强度。</w:t>
      </w:r>
    </w:p>
    <w:p>
      <w:pPr>
        <w:pStyle w:val="2"/>
        <w:spacing w:before="156"/>
        <w:ind w:left="1200" w:leftChars="250" w:hanging="600"/>
      </w:pPr>
      <w:r>
        <w:rPr>
          <w:szCs w:val="36"/>
        </w:rPr>
        <w:br w:type="page"/>
      </w:r>
      <w:bookmarkStart w:id="190" w:name="_Toc492850103"/>
      <w:r>
        <w:rPr>
          <w:rFonts w:hint="eastAsia"/>
          <w:szCs w:val="36"/>
        </w:rPr>
        <w:t>太原、榆次、太谷</w:t>
      </w:r>
      <w:r>
        <w:rPr>
          <w:rFonts w:hint="eastAsia"/>
        </w:rPr>
        <w:t>区域协同发展规划</w:t>
      </w:r>
      <w:bookmarkEnd w:id="190"/>
    </w:p>
    <w:p>
      <w:pPr>
        <w:pStyle w:val="3"/>
        <w:spacing w:before="156" w:after="156"/>
        <w:rPr>
          <w:rStyle w:val="52"/>
          <w:b w:val="0"/>
          <w:color w:val="auto"/>
          <w:u w:val="none"/>
        </w:rPr>
      </w:pPr>
      <w:bookmarkStart w:id="191" w:name="_Toc492850104"/>
      <w:r>
        <w:rPr>
          <w:rStyle w:val="52"/>
          <w:rFonts w:hint="eastAsia"/>
          <w:b w:val="0"/>
          <w:color w:val="auto"/>
          <w:u w:val="none"/>
        </w:rPr>
        <w:t>第一节 太原、榆次、太谷功能统筹协调</w:t>
      </w:r>
      <w:bookmarkEnd w:id="191"/>
    </w:p>
    <w:p>
      <w:pPr>
        <w:pStyle w:val="4"/>
        <w:tabs>
          <w:tab w:val="left" w:pos="993"/>
          <w:tab w:val="clear" w:pos="1260"/>
        </w:tabs>
        <w:spacing w:before="312"/>
        <w:ind w:left="851" w:hanging="834"/>
      </w:pPr>
      <w:r>
        <w:rPr>
          <w:rFonts w:hint="eastAsia"/>
        </w:rPr>
        <w:t>总体策略</w:t>
      </w:r>
    </w:p>
    <w:p>
      <w:pPr>
        <w:pStyle w:val="131"/>
        <w:spacing w:before="156"/>
        <w:ind w:left="960"/>
        <w:rPr>
          <w:rStyle w:val="49"/>
          <w:b w:val="0"/>
          <w:bCs w:val="0"/>
        </w:rPr>
      </w:pPr>
      <w:r>
        <w:rPr>
          <w:rStyle w:val="49"/>
          <w:rFonts w:hint="eastAsia"/>
          <w:b w:val="0"/>
          <w:bCs w:val="0"/>
        </w:rPr>
        <w:t>（1）</w:t>
      </w:r>
      <w:r>
        <w:rPr>
          <w:rFonts w:hint="eastAsia" w:asciiTheme="majorEastAsia" w:hAnsiTheme="majorEastAsia" w:eastAsiaTheme="majorEastAsia"/>
        </w:rPr>
        <w:t>以都市区为平台，合理确定城市发展定位</w:t>
      </w:r>
    </w:p>
    <w:p>
      <w:pPr>
        <w:spacing w:before="156"/>
      </w:pPr>
      <w:r>
        <w:rPr>
          <w:rFonts w:hint="eastAsia"/>
        </w:rPr>
        <w:t>榆次、太谷均处于太原都市区范围，应根据与太原的区位关系以及自身的发展条件，分工协作，合理承担不同的功能。核心地区承担核心功能，带动区域经济的整体发展和产业升级。外围地区主动接受辐射，加强功能对接，成为太原都市区的重要发展支撑。</w:t>
      </w:r>
    </w:p>
    <w:p>
      <w:pPr>
        <w:spacing w:before="156"/>
      </w:pPr>
      <w:r>
        <w:rPr>
          <w:rFonts w:hint="eastAsia"/>
        </w:rPr>
        <w:t>榆次主城区与太原南部城区共同组成太原都市区的太榆中心城区，在空间区位上属于太原都市区的核心圈层，也是太原都市区的核心组成，应积极承担都市区科教、研发等核心职能，以发展都市制造、第三产业和高科技产业为主。</w:t>
      </w:r>
    </w:p>
    <w:p>
      <w:pPr>
        <w:spacing w:before="156"/>
      </w:pPr>
      <w:r>
        <w:rPr>
          <w:rFonts w:hint="eastAsia"/>
        </w:rPr>
        <w:t>太谷作为太原都市区的外围新城，应发挥区位交通优势，依托资源基础，发挥比较优势，走本地特色型与外来植入型相结合的发展之路，获得产业与功能的快速集聚。</w:t>
      </w:r>
    </w:p>
    <w:p>
      <w:pPr>
        <w:pStyle w:val="131"/>
        <w:spacing w:before="156"/>
        <w:ind w:left="960"/>
        <w:rPr>
          <w:rStyle w:val="49"/>
          <w:b w:val="0"/>
          <w:bCs w:val="0"/>
        </w:rPr>
      </w:pPr>
      <w:r>
        <w:rPr>
          <w:rStyle w:val="49"/>
          <w:rFonts w:hint="eastAsia"/>
          <w:b w:val="0"/>
          <w:bCs w:val="0"/>
        </w:rPr>
        <w:t>（2）</w:t>
      </w:r>
      <w:r>
        <w:rPr>
          <w:rFonts w:hint="eastAsia" w:asciiTheme="majorEastAsia" w:hAnsiTheme="majorEastAsia" w:eastAsiaTheme="majorEastAsia"/>
        </w:rPr>
        <w:t>强化合作，互利共赢</w:t>
      </w:r>
    </w:p>
    <w:p>
      <w:pPr>
        <w:spacing w:before="156"/>
      </w:pPr>
      <w:r>
        <w:rPr>
          <w:rFonts w:hint="eastAsia"/>
        </w:rPr>
        <w:t>加强太原、晋中一体化发展，</w:t>
      </w:r>
      <w:r>
        <w:rPr>
          <w:rFonts w:hint="eastAsia" w:hAnsi="宋体"/>
          <w:szCs w:val="21"/>
        </w:rPr>
        <w:t>形成合理有效的职能分工，推动太原都市区的高效发展。太原中心城市以发展面向区域的高端服务职能为主，榆次重点发展现代服务功能和都市制造功能。</w:t>
      </w:r>
    </w:p>
    <w:p>
      <w:pPr>
        <w:spacing w:before="156"/>
      </w:pPr>
      <w:r>
        <w:rPr>
          <w:rFonts w:hint="eastAsia"/>
        </w:rPr>
        <w:t>推动</w:t>
      </w:r>
      <w:r>
        <w:t>潇河产业园区</w:t>
      </w:r>
      <w:r>
        <w:rPr>
          <w:rFonts w:hint="eastAsia"/>
        </w:rPr>
        <w:t>太原</w:t>
      </w:r>
      <w:r>
        <w:t>和晋中部分的协作</w:t>
      </w:r>
      <w:r>
        <w:rPr>
          <w:rFonts w:hint="eastAsia"/>
        </w:rPr>
        <w:t>，加强</w:t>
      </w:r>
      <w:r>
        <w:t>产业分工合作</w:t>
      </w:r>
      <w:r>
        <w:rPr>
          <w:rFonts w:hint="eastAsia"/>
        </w:rPr>
        <w:t>与</w:t>
      </w:r>
      <w:r>
        <w:t>产业发展统筹，避免</w:t>
      </w:r>
      <w:r>
        <w:rPr>
          <w:rFonts w:hint="eastAsia"/>
        </w:rPr>
        <w:t>双方恶性竞争，太原部分重点发展新材料、新能源、智能制造、装配式建筑、新一代信息技术等产业，晋中部分重点发展新能源汽车配套、现代智能物流、先进装备制造以及生物医药产业</w:t>
      </w:r>
      <w:r>
        <w:t>；</w:t>
      </w:r>
      <w:r>
        <w:rPr>
          <w:rFonts w:hint="eastAsia"/>
        </w:rPr>
        <w:t>对接交通</w:t>
      </w:r>
      <w:r>
        <w:t>，确保</w:t>
      </w:r>
      <w:r>
        <w:rPr>
          <w:rFonts w:hint="eastAsia"/>
        </w:rPr>
        <w:t>园区两部分</w:t>
      </w:r>
      <w:r>
        <w:t>的</w:t>
      </w:r>
      <w:r>
        <w:rPr>
          <w:rFonts w:hint="eastAsia"/>
        </w:rPr>
        <w:t>主次</w:t>
      </w:r>
      <w:r>
        <w:t>干道</w:t>
      </w:r>
      <w:r>
        <w:rPr>
          <w:rFonts w:hint="eastAsia"/>
        </w:rPr>
        <w:t>能够</w:t>
      </w:r>
      <w:r>
        <w:t>顺畅</w:t>
      </w:r>
      <w:r>
        <w:rPr>
          <w:rFonts w:hint="eastAsia"/>
        </w:rPr>
        <w:t>连接，统筹</w:t>
      </w:r>
      <w:r>
        <w:t>公交系统建设</w:t>
      </w:r>
      <w:r>
        <w:rPr>
          <w:rFonts w:hint="eastAsia"/>
        </w:rPr>
        <w:t>。</w:t>
      </w:r>
    </w:p>
    <w:p>
      <w:pPr>
        <w:spacing w:before="156"/>
      </w:pPr>
      <w:r>
        <w:rPr>
          <w:rFonts w:hint="eastAsia"/>
        </w:rPr>
        <w:t>加强榆次、太谷产业协同发展，利用榆次的科研优势为太谷提供技改、研发服务；加强汽车等装备制造业的产业链延伸与整合，强化榆次与太谷的合作。</w:t>
      </w:r>
    </w:p>
    <w:p>
      <w:pPr>
        <w:spacing w:before="156"/>
      </w:pPr>
      <w:r>
        <w:rPr>
          <w:rFonts w:hint="eastAsia"/>
        </w:rPr>
        <w:t>协同控制重大区域设施建设空间，确保设施建设；整合城市内部拓展与区域轴带的关系，加强区域交通、市政等基础设施的对接，促进榆次与太谷城镇发展空间的全面统筹。</w:t>
      </w:r>
    </w:p>
    <w:p>
      <w:pPr>
        <w:pStyle w:val="4"/>
        <w:tabs>
          <w:tab w:val="left" w:pos="993"/>
          <w:tab w:val="clear" w:pos="1260"/>
        </w:tabs>
        <w:spacing w:before="312"/>
        <w:ind w:left="851" w:hanging="834"/>
      </w:pPr>
      <w:r>
        <w:rPr>
          <w:rFonts w:hint="eastAsia"/>
        </w:rPr>
        <w:t>功能统筹协调</w:t>
      </w:r>
    </w:p>
    <w:p>
      <w:pPr>
        <w:pStyle w:val="131"/>
        <w:spacing w:before="156"/>
        <w:ind w:left="960"/>
      </w:pPr>
      <w:r>
        <w:rPr>
          <w:rFonts w:hint="eastAsia"/>
        </w:rPr>
        <w:t>（1）太原城区</w:t>
      </w:r>
    </w:p>
    <w:p>
      <w:pPr>
        <w:spacing w:before="156"/>
      </w:pPr>
      <w:r>
        <w:rPr>
          <w:rFonts w:hint="eastAsia"/>
        </w:rPr>
        <w:t>太原承担高端职能，是国家煤炭能源服务、科研创新中心，国家重要的新材料和机械装备制造业基地；黄河中游经济区重要的商贸物流中心，中部地区重要的综合交通枢纽；山西省政治、经济、文化与科教中心，山西省旅游服务与集散中心。</w:t>
      </w:r>
    </w:p>
    <w:p>
      <w:pPr>
        <w:pStyle w:val="131"/>
        <w:spacing w:before="156"/>
        <w:ind w:left="960"/>
      </w:pPr>
      <w:r>
        <w:rPr>
          <w:rFonts w:hint="eastAsia"/>
        </w:rPr>
        <w:t>（2）榆次</w:t>
      </w:r>
    </w:p>
    <w:p>
      <w:pPr>
        <w:spacing w:before="156"/>
      </w:pPr>
      <w:r>
        <w:rPr>
          <w:rFonts w:hint="eastAsia"/>
        </w:rPr>
        <w:t>榆次是太原都市区的核心组成，</w:t>
      </w:r>
      <w:r>
        <w:rPr>
          <w:rFonts w:hint="eastAsia"/>
          <w:szCs w:val="21"/>
        </w:rPr>
        <w:t>与太原共同构筑省域城镇与发展的主中心，</w:t>
      </w:r>
      <w:r>
        <w:rPr>
          <w:rFonts w:hint="eastAsia"/>
        </w:rPr>
        <w:t>承担都市区部分专业化的中心服务职能和先进生产功能。是承担物流集散、教育、旅游服务职能的太原都市区副中心；以汽车、机械制造、能源化工为主的装备制造业基地；文化与生态交融的宜居城区。</w:t>
      </w:r>
    </w:p>
    <w:p>
      <w:pPr>
        <w:pStyle w:val="131"/>
        <w:spacing w:before="156"/>
        <w:ind w:left="960"/>
      </w:pPr>
      <w:r>
        <w:rPr>
          <w:rFonts w:hint="eastAsia"/>
        </w:rPr>
        <w:t>（3）太谷县城</w:t>
      </w:r>
    </w:p>
    <w:p>
      <w:pPr>
        <w:spacing w:before="156"/>
      </w:pPr>
      <w:r>
        <w:rPr>
          <w:rFonts w:hint="eastAsia"/>
        </w:rPr>
        <w:t>山西“农谷”核心区、国家现代农业示范区、山西省现代农业和新型加工业基地，晋商传统文化发展的策源地。</w:t>
      </w:r>
    </w:p>
    <w:p>
      <w:pPr>
        <w:spacing w:before="156"/>
      </w:pPr>
      <w:r>
        <w:rPr>
          <w:rFonts w:hint="eastAsia"/>
        </w:rPr>
        <w:t>服务于山西”农谷”，以山西农业大学为核心，突出农业科技创新、农业高新技术服务、农业创新创业企业孵化、农业人才培养和聚集四大功能，创建全省农业服务现代化示范，引领示范、辐射带动全省现代农业发展。</w:t>
      </w:r>
    </w:p>
    <w:p>
      <w:pPr>
        <w:spacing w:before="156"/>
      </w:pPr>
      <w:r>
        <w:rPr>
          <w:rFonts w:hint="eastAsia"/>
        </w:rPr>
        <w:t>以晋商文化为特色的历史文化名城，以文化教育、旅游休闲、商贸流通、食品饮料及农副产品深加工、一般加工制造等为主的太原都市区外围新城。强化地方特色文化，强化基础教育职能，营造良好的生态人文环境，构建独具吸引力的休闲度假区和精品宜居城市。</w:t>
      </w:r>
    </w:p>
    <w:p>
      <w:pPr>
        <w:pStyle w:val="3"/>
        <w:spacing w:before="156" w:after="156"/>
        <w:rPr>
          <w:rStyle w:val="52"/>
          <w:b w:val="0"/>
          <w:color w:val="auto"/>
          <w:u w:val="none"/>
        </w:rPr>
      </w:pPr>
      <w:bookmarkStart w:id="192" w:name="_Toc492850105"/>
      <w:r>
        <w:rPr>
          <w:rStyle w:val="52"/>
          <w:rFonts w:hint="eastAsia"/>
          <w:b w:val="0"/>
          <w:color w:val="auto"/>
          <w:u w:val="none"/>
        </w:rPr>
        <w:t>第二节 太原晋中一体化规划</w:t>
      </w:r>
      <w:bookmarkEnd w:id="192"/>
    </w:p>
    <w:p>
      <w:pPr>
        <w:pStyle w:val="4"/>
        <w:tabs>
          <w:tab w:val="left" w:pos="993"/>
          <w:tab w:val="clear" w:pos="1260"/>
        </w:tabs>
        <w:spacing w:before="312"/>
        <w:ind w:left="851" w:hanging="834"/>
      </w:pPr>
      <w:r>
        <w:rPr>
          <w:rFonts w:hint="eastAsia"/>
        </w:rPr>
        <w:t>空间布局协调</w:t>
      </w:r>
    </w:p>
    <w:p>
      <w:pPr>
        <w:spacing w:before="156"/>
      </w:pPr>
      <w:r>
        <w:rPr>
          <w:rFonts w:hint="eastAsia"/>
        </w:rPr>
        <w:t>落实太原都市区空间发展要求，对接太原空间结构；推动主城区与太原的小店地区的空间衔接，共同构建太原都市区的太榆中心城区；</w:t>
      </w:r>
      <w:r>
        <w:t>与太原共同建设潇河产业园区</w:t>
      </w:r>
      <w:r>
        <w:rPr>
          <w:rFonts w:hint="eastAsia"/>
        </w:rPr>
        <w:t>，</w:t>
      </w:r>
      <w:r>
        <w:t>沿潇河南北岸建设潇河产业园区的晋中起步区</w:t>
      </w:r>
      <w:r>
        <w:rPr>
          <w:rFonts w:hint="eastAsia"/>
        </w:rPr>
        <w:t>，</w:t>
      </w:r>
      <w:r>
        <w:t>重点发展</w:t>
      </w:r>
      <w:r>
        <w:rPr>
          <w:rFonts w:hint="eastAsia"/>
        </w:rPr>
        <w:t>现代智能</w:t>
      </w:r>
      <w:r>
        <w:t>物流</w:t>
      </w:r>
      <w:r>
        <w:rPr>
          <w:rFonts w:hint="eastAsia"/>
        </w:rPr>
        <w:t>、新能源汽车配套、生物医药等产业。</w:t>
      </w:r>
    </w:p>
    <w:p>
      <w:pPr>
        <w:spacing w:before="156"/>
      </w:pPr>
      <w:r>
        <w:rPr>
          <w:rFonts w:hint="eastAsia"/>
        </w:rPr>
        <w:t>对接太原中心城区的东部城市拓展轴，结合晋中站建设城市中心，向南延伸都市区的辐射带动力；对接小店联系轴，建设北部新城中心，承接武宿中心的辐射。</w:t>
      </w:r>
    </w:p>
    <w:p>
      <w:pPr>
        <w:spacing w:before="156"/>
      </w:pPr>
      <w:r>
        <w:rPr>
          <w:rFonts w:hint="eastAsia"/>
        </w:rPr>
        <w:t>落实都市区生态格局，对接太原龙城大道南生态廊道，将其延伸至乌金山森林公园，与太原晋阳文化生态区相连，作为都市区双城间的生态隔离。结合潇河生态绿地建设，对接太原新城南生态廊道，将其作为控制都市区南部新城发展的界限。</w:t>
      </w:r>
    </w:p>
    <w:p>
      <w:pPr>
        <w:pStyle w:val="4"/>
        <w:tabs>
          <w:tab w:val="left" w:pos="993"/>
          <w:tab w:val="clear" w:pos="1260"/>
        </w:tabs>
        <w:spacing w:before="312"/>
        <w:ind w:left="851" w:hanging="834"/>
      </w:pPr>
      <w:r>
        <w:rPr>
          <w:rFonts w:hint="eastAsia"/>
        </w:rPr>
        <w:t>交通系统协调</w:t>
      </w:r>
    </w:p>
    <w:p>
      <w:pPr>
        <w:pStyle w:val="131"/>
        <w:spacing w:before="156"/>
        <w:ind w:left="960"/>
        <w:rPr>
          <w:rFonts w:ascii="宋体" w:hAnsi="宋体"/>
        </w:rPr>
      </w:pPr>
      <w:r>
        <w:rPr>
          <w:rFonts w:hint="eastAsia" w:ascii="宋体" w:hAnsi="宋体"/>
        </w:rPr>
        <w:t>（1）对外</w:t>
      </w:r>
      <w:r>
        <w:rPr>
          <w:rFonts w:hint="eastAsia"/>
        </w:rPr>
        <w:t>交通系统</w:t>
      </w:r>
      <w:r>
        <w:rPr>
          <w:rFonts w:hint="eastAsia" w:ascii="宋体" w:hAnsi="宋体"/>
        </w:rPr>
        <w:t>一体化组织</w:t>
      </w:r>
    </w:p>
    <w:p>
      <w:pPr>
        <w:spacing w:before="156"/>
      </w:pPr>
      <w:r>
        <w:t>在太晋都市区东部及南部构筑G108、G307绕城线，与都市区内5条快速路衔接，分别为南北向</w:t>
      </w:r>
      <w:r>
        <w:rPr>
          <w:rFonts w:hint="eastAsia"/>
        </w:rPr>
        <w:t>汇通路-太原建设</w:t>
      </w:r>
      <w:r>
        <w:t>路</w:t>
      </w:r>
      <w:r>
        <w:rPr>
          <w:rFonts w:hint="eastAsia"/>
        </w:rPr>
        <w:t>，太原</w:t>
      </w:r>
      <w:r>
        <w:t>东环快速路—晋中综合通道；东西向太旧快速路、龙湖街、环城南路，形成太原—晋中都市区组织南向、东向进出城交通及</w:t>
      </w:r>
      <w:r>
        <w:rPr>
          <w:rFonts w:ascii="Arial" w:hAnsi="Arial"/>
        </w:rPr>
        <w:t>过境交通</w:t>
      </w:r>
      <w:r>
        <w:t>的通道。</w:t>
      </w:r>
    </w:p>
    <w:p>
      <w:pPr>
        <w:pStyle w:val="131"/>
        <w:spacing w:before="156"/>
        <w:ind w:left="960"/>
        <w:rPr>
          <w:rFonts w:ascii="宋体" w:hAnsi="宋体"/>
        </w:rPr>
      </w:pPr>
      <w:r>
        <w:rPr>
          <w:rFonts w:hint="eastAsia" w:ascii="宋体" w:hAnsi="宋体"/>
        </w:rPr>
        <w:t>（2）快速路</w:t>
      </w:r>
      <w:r>
        <w:rPr>
          <w:rFonts w:hint="eastAsia"/>
        </w:rPr>
        <w:t>系统</w:t>
      </w:r>
      <w:r>
        <w:rPr>
          <w:rFonts w:hint="eastAsia" w:ascii="宋体" w:hAnsi="宋体"/>
        </w:rPr>
        <w:t>对接</w:t>
      </w:r>
    </w:p>
    <w:p>
      <w:pPr>
        <w:spacing w:before="156"/>
        <w:rPr>
          <w:rFonts w:ascii="Arial" w:hAnsi="Arial"/>
        </w:rPr>
      </w:pPr>
      <w:r>
        <w:rPr>
          <w:rFonts w:hint="eastAsia" w:ascii="Arial" w:hAnsi="Arial"/>
        </w:rPr>
        <w:t>构建太原—晋中城区间“四横两纵”快速道路对接。</w:t>
      </w:r>
    </w:p>
    <w:p>
      <w:pPr>
        <w:spacing w:before="156"/>
        <w:rPr>
          <w:rFonts w:ascii="Arial" w:hAnsi="Arial"/>
        </w:rPr>
      </w:pPr>
      <w:r>
        <w:rPr>
          <w:rFonts w:hint="eastAsia" w:ascii="Arial" w:hAnsi="Arial"/>
        </w:rPr>
        <w:t>“四横”：①太旧高速在太原、晋中城区内部改造为太旧快速路；②晋中龙湖街与太原化彰街东西贯通；③晋中环城南路西延与太原南部迎宾路衔接；</w:t>
      </w:r>
      <w:r>
        <w:rPr>
          <w:rFonts w:hint="eastAsia" w:ascii="宋体" w:hAnsi="宋体"/>
        </w:rPr>
        <w:t>④连接潇河产业园区晋中起步区和太原起步区的小牛线。</w:t>
      </w:r>
    </w:p>
    <w:p>
      <w:pPr>
        <w:spacing w:before="156"/>
        <w:rPr>
          <w:rFonts w:ascii="Arial" w:hAnsi="Arial"/>
        </w:rPr>
      </w:pPr>
      <w:r>
        <w:rPr>
          <w:rFonts w:hint="eastAsia" w:ascii="Arial" w:hAnsi="Arial"/>
        </w:rPr>
        <w:t>“两纵”：晋中综合通道向北衔接太原东环快速路，汇通路对接</w:t>
      </w:r>
      <w:r>
        <w:rPr>
          <w:rFonts w:ascii="Arial" w:hAnsi="Arial"/>
        </w:rPr>
        <w:t>太原</w:t>
      </w:r>
      <w:r>
        <w:rPr>
          <w:rFonts w:hint="eastAsia" w:ascii="Arial" w:hAnsi="Arial"/>
        </w:rPr>
        <w:t>建设路。</w:t>
      </w:r>
    </w:p>
    <w:p>
      <w:pPr>
        <w:pStyle w:val="131"/>
        <w:spacing w:before="156"/>
        <w:ind w:left="960"/>
        <w:rPr>
          <w:rFonts w:ascii="宋体" w:hAnsi="宋体"/>
        </w:rPr>
      </w:pPr>
      <w:r>
        <w:rPr>
          <w:rFonts w:hint="eastAsia" w:ascii="宋体" w:hAnsi="宋体"/>
        </w:rPr>
        <w:t>（3）主干路</w:t>
      </w:r>
      <w:r>
        <w:rPr>
          <w:rFonts w:hint="eastAsia"/>
        </w:rPr>
        <w:t>对接</w:t>
      </w:r>
    </w:p>
    <w:p>
      <w:pPr>
        <w:spacing w:before="156"/>
      </w:pPr>
      <w:r>
        <w:rPr>
          <w:rFonts w:hint="eastAsia"/>
        </w:rPr>
        <w:t>晋中中心城区与太原中心城区间共计规划“九横四纵</w:t>
      </w:r>
      <w:r>
        <w:t>”</w:t>
      </w:r>
      <w:r>
        <w:rPr>
          <w:rFonts w:hint="eastAsia"/>
        </w:rPr>
        <w:t>主干路对接。</w:t>
      </w:r>
    </w:p>
    <w:p>
      <w:pPr>
        <w:spacing w:before="156"/>
      </w:pPr>
      <w:r>
        <w:rPr>
          <w:rFonts w:hint="eastAsia"/>
        </w:rPr>
        <w:t>主城区在龙湖街路以北规划5条东西向主干路对接，由北到南依次为龙城大道、鸣谦大街、文津街、大学街、杨盘街-汇丰街；在龙湖街快速路以南规划迎宾街—迎宾西街、创业街2条主干路对接；潇河产业园区晋中起步区滨河南街与太原起步区敦化街对接、小赵南街与紫林路对接。</w:t>
      </w:r>
    </w:p>
    <w:p>
      <w:pPr>
        <w:spacing w:before="156"/>
      </w:pPr>
      <w:r>
        <w:rPr>
          <w:rFonts w:hint="eastAsia"/>
        </w:rPr>
        <w:t>晋中站地区有太原宿中路、机场东路往南衔接晋中迎宾西街；太原马练营路衔接晋中环城南路快速路。</w:t>
      </w:r>
    </w:p>
    <w:p>
      <w:pPr>
        <w:pStyle w:val="131"/>
        <w:spacing w:before="156"/>
        <w:ind w:left="278" w:leftChars="54" w:hanging="148" w:hangingChars="62"/>
        <w:rPr>
          <w:rFonts w:ascii="Arial" w:hAnsi="Arial"/>
        </w:rPr>
      </w:pPr>
      <w:r>
        <w:rPr>
          <w:rFonts w:hint="eastAsia" w:ascii="宋体" w:hAnsi="宋体"/>
        </w:rPr>
        <w:t>（4）轨道交通系统建设一体化</w:t>
      </w:r>
    </w:p>
    <w:p>
      <w:pPr>
        <w:spacing w:before="156"/>
      </w:pPr>
      <w:r>
        <w:rPr>
          <w:rFonts w:hint="eastAsia"/>
        </w:rPr>
        <w:t>晋中中心城区</w:t>
      </w:r>
      <w:r>
        <w:t>建设多条轨道交通线与太原中心城区轨道交通系统衔接，形成太原—晋中一体化轨道交通系统的骨架。</w:t>
      </w:r>
    </w:p>
    <w:p>
      <w:pPr>
        <w:spacing w:before="156"/>
      </w:pPr>
      <w:r>
        <w:t>Y1号线：与太原</w:t>
      </w:r>
      <w:r>
        <w:rPr>
          <w:rFonts w:hint="eastAsia"/>
        </w:rPr>
        <w:t>1号线衔接，</w:t>
      </w:r>
      <w:r>
        <w:t>由枣园路南延，跨太旧快速路并沿铁路东侧至文华街，沿文华街向东至中都北路，</w:t>
      </w:r>
      <w:r>
        <w:rPr>
          <w:rFonts w:hint="eastAsia"/>
        </w:rPr>
        <w:t>沿中都北路向南经中都路至顺城街，沿顺城街向东至锦纶路，沿锦纶路向南至城东客运站枢纽。</w:t>
      </w:r>
    </w:p>
    <w:p>
      <w:pPr>
        <w:spacing w:before="156"/>
      </w:pPr>
      <w:r>
        <w:t>Y2号线</w:t>
      </w:r>
      <w:r>
        <w:rPr>
          <w:rFonts w:hint="eastAsia"/>
        </w:rPr>
        <w:t>：衔接太原2号线，由小店向东延伸沿迎宾街向东延伸至城区东端。</w:t>
      </w:r>
    </w:p>
    <w:p>
      <w:pPr>
        <w:spacing w:before="156"/>
      </w:pPr>
      <w:r>
        <w:t>Y6号线</w:t>
      </w:r>
      <w:r>
        <w:rPr>
          <w:rFonts w:hint="eastAsia"/>
        </w:rPr>
        <w:t>：</w:t>
      </w:r>
      <w:r>
        <w:t>由太原</w:t>
      </w:r>
      <w:r>
        <w:rPr>
          <w:rFonts w:hint="eastAsia"/>
        </w:rPr>
        <w:t>6号线在龙湖大街引入，并延伸至城区东端。</w:t>
      </w:r>
    </w:p>
    <w:p>
      <w:pPr>
        <w:spacing w:before="156"/>
      </w:pPr>
      <w:r>
        <w:rPr>
          <w:rFonts w:hint="eastAsia"/>
        </w:rPr>
        <w:t>Z</w:t>
      </w:r>
      <w:r>
        <w:t>1号线</w:t>
      </w:r>
      <w:r>
        <w:rPr>
          <w:rFonts w:hint="eastAsia"/>
        </w:rPr>
        <w:t>：在潇河产业园区北部</w:t>
      </w:r>
      <w:r>
        <w:t>与太原共建</w:t>
      </w:r>
      <w:r>
        <w:rPr>
          <w:rFonts w:hint="eastAsia"/>
        </w:rPr>
        <w:t>，连接潇河产业园区太原起步区和晋中起步区。</w:t>
      </w:r>
    </w:p>
    <w:p>
      <w:pPr>
        <w:spacing w:before="156"/>
      </w:pPr>
      <w:r>
        <w:t>Z4号线</w:t>
      </w:r>
      <w:r>
        <w:rPr>
          <w:rFonts w:hint="eastAsia"/>
        </w:rPr>
        <w:t>：太原1号线的向南延伸线，经晋中站沿综合通道向南延伸至潇河产业园区晋中起步区西侧。</w:t>
      </w:r>
    </w:p>
    <w:p>
      <w:pPr>
        <w:spacing w:before="156"/>
      </w:pPr>
      <w:r>
        <w:t>Z5号线</w:t>
      </w:r>
      <w:r>
        <w:rPr>
          <w:rFonts w:hint="eastAsia"/>
        </w:rPr>
        <w:t>：</w:t>
      </w:r>
      <w:r>
        <w:t>晋中Y1号线</w:t>
      </w:r>
      <w:r>
        <w:rPr>
          <w:rFonts w:hint="eastAsia"/>
        </w:rPr>
        <w:t>经潇河湿地公园延伸至潇河产业园区晋中起步区东侧。</w:t>
      </w:r>
    </w:p>
    <w:p>
      <w:pPr>
        <w:pStyle w:val="131"/>
        <w:spacing w:before="156"/>
        <w:ind w:left="960"/>
        <w:rPr>
          <w:rFonts w:ascii="Arial" w:hAnsi="Arial"/>
        </w:rPr>
      </w:pPr>
      <w:r>
        <w:rPr>
          <w:rFonts w:hint="eastAsia" w:ascii="Arial" w:hAnsi="Arial"/>
        </w:rPr>
        <w:t>（5）公交系统布局对接</w:t>
      </w:r>
    </w:p>
    <w:p>
      <w:pPr>
        <w:spacing w:before="156"/>
        <w:rPr>
          <w:rFonts w:ascii="Arial" w:hAnsi="Arial"/>
        </w:rPr>
      </w:pPr>
      <w:r>
        <w:rPr>
          <w:rFonts w:hint="eastAsia" w:ascii="Arial" w:hAnsi="Arial"/>
        </w:rPr>
        <w:t>在轨道交通线路建设前，</w:t>
      </w:r>
      <w:r>
        <w:rPr>
          <w:rFonts w:hint="eastAsia"/>
        </w:rPr>
        <w:t>在轨道交通线路经由的机场东路、文华街、中都北路、中都路、迎宾街等道路上实行公交专用道系统</w:t>
      </w:r>
      <w:r>
        <w:rPr>
          <w:rFonts w:hint="eastAsia" w:ascii="Arial" w:hAnsi="Arial"/>
        </w:rPr>
        <w:t>。</w:t>
      </w:r>
    </w:p>
    <w:p>
      <w:pPr>
        <w:spacing w:before="156"/>
        <w:rPr>
          <w:rFonts w:ascii="Arial" w:hAnsi="Arial"/>
        </w:rPr>
      </w:pPr>
      <w:r>
        <w:rPr>
          <w:rFonts w:hint="eastAsia"/>
        </w:rPr>
        <w:t>除此外，在环城西路、顺城街、汇通路等道路上实行公交专用道系统，与太原公交专用道系统对接。</w:t>
      </w:r>
    </w:p>
    <w:p>
      <w:pPr>
        <w:pStyle w:val="131"/>
        <w:spacing w:before="156"/>
        <w:ind w:left="960"/>
        <w:rPr>
          <w:rFonts w:ascii="宋体" w:hAnsi="宋体"/>
        </w:rPr>
      </w:pPr>
      <w:r>
        <w:rPr>
          <w:rFonts w:hint="eastAsia" w:ascii="Arial" w:hAnsi="Arial"/>
        </w:rPr>
        <w:t>（6）公交运营</w:t>
      </w:r>
      <w:r>
        <w:rPr>
          <w:rFonts w:hint="eastAsia"/>
        </w:rPr>
        <w:t>组织</w:t>
      </w:r>
      <w:r>
        <w:rPr>
          <w:rFonts w:hint="eastAsia" w:ascii="Arial" w:hAnsi="Arial"/>
        </w:rPr>
        <w:t>对接</w:t>
      </w:r>
    </w:p>
    <w:p>
      <w:pPr>
        <w:spacing w:before="156"/>
        <w:rPr>
          <w:rFonts w:ascii="Arial" w:hAnsi="Arial"/>
        </w:rPr>
      </w:pPr>
      <w:r>
        <w:rPr>
          <w:rFonts w:hint="eastAsia" w:ascii="Arial" w:hAnsi="Arial"/>
        </w:rPr>
        <w:t>在晋中站、现榆次站、北部新城中心等处布局公交枢纽，加强与太原武宿机场枢纽、小店枢纽、小店南枢纽、太原南站枢纽、太原站枢纽、晋祠枢纽等公交枢纽间的公交线路布设，增进太原—晋中间公交系统运营组织一体化。</w:t>
      </w:r>
    </w:p>
    <w:p>
      <w:pPr>
        <w:spacing w:before="156"/>
      </w:pPr>
      <w:r>
        <w:t>规划期末，与太原之间公交出行比例不低于30%。</w:t>
      </w:r>
    </w:p>
    <w:p>
      <w:pPr>
        <w:pStyle w:val="4"/>
        <w:tabs>
          <w:tab w:val="left" w:pos="993"/>
        </w:tabs>
        <w:spacing w:before="312"/>
        <w:ind w:left="851" w:hanging="834"/>
      </w:pPr>
      <w:r>
        <w:t>市政</w:t>
      </w:r>
      <w:r>
        <w:rPr>
          <w:rFonts w:hint="eastAsia"/>
        </w:rPr>
        <w:t>系统</w:t>
      </w:r>
      <w:r>
        <w:t>协调</w:t>
      </w:r>
    </w:p>
    <w:p>
      <w:pPr>
        <w:pStyle w:val="131"/>
        <w:spacing w:before="156"/>
        <w:ind w:left="960"/>
        <w:rPr>
          <w:rFonts w:ascii="Arial" w:hAnsi="Arial"/>
        </w:rPr>
      </w:pPr>
      <w:r>
        <w:rPr>
          <w:rFonts w:hint="eastAsia" w:ascii="Arial" w:hAnsi="Arial"/>
        </w:rPr>
        <w:t>（1）设施</w:t>
      </w:r>
      <w:r>
        <w:rPr>
          <w:rFonts w:ascii="Arial" w:hAnsi="Arial"/>
        </w:rPr>
        <w:t>协调、优势互补</w:t>
      </w:r>
    </w:p>
    <w:p>
      <w:pPr>
        <w:spacing w:before="156"/>
      </w:pPr>
      <w:r>
        <w:rPr>
          <w:rFonts w:hint="eastAsia"/>
        </w:rPr>
        <w:t>晋中市中心城区</w:t>
      </w:r>
      <w:r>
        <w:t>在保证本地</w:t>
      </w:r>
      <w:r>
        <w:rPr>
          <w:rFonts w:hint="eastAsia"/>
        </w:rPr>
        <w:t>水源</w:t>
      </w:r>
      <w:r>
        <w:t>供水能力</w:t>
      </w:r>
      <w:r>
        <w:rPr>
          <w:rFonts w:hint="eastAsia"/>
        </w:rPr>
        <w:t>、加强</w:t>
      </w:r>
      <w:r>
        <w:t>节水型社会建设</w:t>
      </w:r>
      <w:r>
        <w:rPr>
          <w:rFonts w:hint="eastAsia"/>
        </w:rPr>
        <w:t>及</w:t>
      </w:r>
      <w:r>
        <w:t>提高再生水、雨水等</w:t>
      </w:r>
      <w:r>
        <w:rPr>
          <w:rFonts w:hint="eastAsia"/>
        </w:rPr>
        <w:t>非常规</w:t>
      </w:r>
      <w:r>
        <w:t>水源利用比例的基础上，应</w:t>
      </w:r>
      <w:r>
        <w:rPr>
          <w:rFonts w:hint="eastAsia"/>
        </w:rPr>
        <w:t>与</w:t>
      </w:r>
      <w:r>
        <w:t>太原市加强</w:t>
      </w:r>
      <w:r>
        <w:rPr>
          <w:rFonts w:hint="eastAsia"/>
        </w:rPr>
        <w:t>协调引黄供水</w:t>
      </w:r>
      <w:r>
        <w:t>工程建设，保证</w:t>
      </w:r>
      <w:r>
        <w:rPr>
          <w:rFonts w:hint="eastAsia"/>
        </w:rPr>
        <w:t>城市</w:t>
      </w:r>
      <w:r>
        <w:t>的发展。</w:t>
      </w:r>
    </w:p>
    <w:p>
      <w:pPr>
        <w:spacing w:before="156"/>
      </w:pPr>
      <w:r>
        <w:t>瑞光热电厂二期</w:t>
      </w:r>
      <w:r>
        <w:rPr>
          <w:rFonts w:hint="eastAsia"/>
        </w:rPr>
        <w:t>扩建后，</w:t>
      </w:r>
      <w:r>
        <w:t>新增</w:t>
      </w:r>
      <w:r>
        <w:rPr>
          <w:rFonts w:hint="eastAsia"/>
        </w:rPr>
        <w:t>供热</w:t>
      </w:r>
      <w:r>
        <w:t>能力应</w:t>
      </w:r>
      <w:r>
        <w:rPr>
          <w:rFonts w:hint="eastAsia"/>
        </w:rPr>
        <w:t>作为晋中市</w:t>
      </w:r>
      <w:r>
        <w:t>中心城区和太原市区</w:t>
      </w:r>
      <w:r>
        <w:rPr>
          <w:rFonts w:hint="eastAsia"/>
        </w:rPr>
        <w:t>的城市热源。</w:t>
      </w:r>
    </w:p>
    <w:p>
      <w:pPr>
        <w:pStyle w:val="131"/>
        <w:spacing w:before="156"/>
        <w:ind w:left="960"/>
        <w:rPr>
          <w:rFonts w:ascii="Arial" w:hAnsi="Arial"/>
        </w:rPr>
      </w:pPr>
      <w:r>
        <w:rPr>
          <w:rFonts w:hint="eastAsia" w:ascii="Arial" w:hAnsi="Arial"/>
        </w:rPr>
        <w:t>（2）廊道</w:t>
      </w:r>
      <w:r>
        <w:rPr>
          <w:rFonts w:ascii="Arial" w:hAnsi="Arial"/>
        </w:rPr>
        <w:t>统筹、注重安全</w:t>
      </w:r>
    </w:p>
    <w:p>
      <w:pPr>
        <w:spacing w:before="156"/>
      </w:pPr>
      <w:r>
        <w:rPr>
          <w:rFonts w:hint="eastAsia"/>
        </w:rPr>
        <w:t>统筹</w:t>
      </w:r>
      <w:r>
        <w:t>协调</w:t>
      </w:r>
      <w:r>
        <w:rPr>
          <w:rFonts w:hint="eastAsia"/>
        </w:rPr>
        <w:t>“石家庄-太原”成品油</w:t>
      </w:r>
      <w:r>
        <w:t>管道、</w:t>
      </w:r>
      <w:r>
        <w:rPr>
          <w:rFonts w:hint="eastAsia"/>
        </w:rPr>
        <w:t>“大盂-平遥”天然气</w:t>
      </w:r>
      <w:r>
        <w:t>长输管线</w:t>
      </w:r>
      <w:r>
        <w:rPr>
          <w:rFonts w:hint="eastAsia"/>
        </w:rPr>
        <w:t>等</w:t>
      </w:r>
      <w:r>
        <w:t>区域</w:t>
      </w:r>
      <w:r>
        <w:rPr>
          <w:rFonts w:hint="eastAsia"/>
        </w:rPr>
        <w:t>管线</w:t>
      </w:r>
      <w:r>
        <w:t>迁建问题</w:t>
      </w:r>
      <w:r>
        <w:rPr>
          <w:rFonts w:hint="eastAsia"/>
        </w:rPr>
        <w:t>；</w:t>
      </w:r>
      <w:r>
        <w:t>在</w:t>
      </w:r>
      <w:r>
        <w:rPr>
          <w:rFonts w:hint="eastAsia"/>
        </w:rPr>
        <w:t>榆次区太旧</w:t>
      </w:r>
      <w:r>
        <w:t>高速北侧、龙城高速东侧预留</w:t>
      </w:r>
      <w:r>
        <w:rPr>
          <w:rFonts w:hint="eastAsia"/>
        </w:rPr>
        <w:t>“石家庄-太原”成品油</w:t>
      </w:r>
      <w:r>
        <w:t>管道、</w:t>
      </w:r>
      <w:r>
        <w:rPr>
          <w:rFonts w:hint="eastAsia"/>
        </w:rPr>
        <w:t>“大盂-平遥”天然气</w:t>
      </w:r>
      <w:r>
        <w:t>长输管线</w:t>
      </w:r>
      <w:r>
        <w:rPr>
          <w:rFonts w:hint="eastAsia"/>
        </w:rPr>
        <w:t>、“大盂-平遥”天然气</w:t>
      </w:r>
      <w:r>
        <w:t>长输管线</w:t>
      </w:r>
      <w:r>
        <w:rPr>
          <w:rFonts w:hint="eastAsia"/>
        </w:rPr>
        <w:t>复线</w:t>
      </w:r>
      <w:r>
        <w:t>以及</w:t>
      </w:r>
      <w:r>
        <w:rPr>
          <w:rFonts w:hint="eastAsia"/>
        </w:rPr>
        <w:t>太原</w:t>
      </w:r>
      <w:r>
        <w:t>绕城高压储气管线等</w:t>
      </w:r>
      <w:r>
        <w:rPr>
          <w:rFonts w:hint="eastAsia"/>
        </w:rPr>
        <w:t>区域型</w:t>
      </w:r>
      <w:r>
        <w:t>管线</w:t>
      </w:r>
      <w:r>
        <w:rPr>
          <w:rFonts w:hint="eastAsia"/>
        </w:rPr>
        <w:t>管位。</w:t>
      </w:r>
    </w:p>
    <w:p>
      <w:pPr>
        <w:spacing w:before="156"/>
        <w:rPr>
          <w:rFonts w:ascii="Times New Roman" w:hAnsi="Times New Roman"/>
        </w:rPr>
      </w:pPr>
      <w:r>
        <w:rPr>
          <w:rFonts w:hint="eastAsia" w:ascii="Times New Roman" w:hAnsi="Times New Roman"/>
        </w:rPr>
        <w:t>除</w:t>
      </w:r>
      <w:r>
        <w:rPr>
          <w:rFonts w:ascii="Times New Roman" w:hAnsi="Times New Roman"/>
        </w:rPr>
        <w:t>局部</w:t>
      </w:r>
      <w:r>
        <w:rPr>
          <w:rFonts w:hint="eastAsia" w:ascii="Times New Roman" w:hAnsi="Times New Roman"/>
        </w:rPr>
        <w:t>220</w:t>
      </w:r>
      <w:r>
        <w:rPr>
          <w:rFonts w:ascii="Times New Roman" w:hAnsi="Times New Roman"/>
        </w:rPr>
        <w:t>kV</w:t>
      </w:r>
      <w:r>
        <w:rPr>
          <w:rFonts w:hint="eastAsia" w:ascii="Times New Roman" w:hAnsi="Times New Roman"/>
        </w:rPr>
        <w:t>线路进行</w:t>
      </w:r>
      <w:r>
        <w:rPr>
          <w:rFonts w:ascii="Times New Roman" w:hAnsi="Times New Roman"/>
        </w:rPr>
        <w:t>入地改造外，太原、晋中</w:t>
      </w:r>
      <w:r>
        <w:rPr>
          <w:rFonts w:hint="eastAsia" w:ascii="Times New Roman" w:hAnsi="Times New Roman"/>
        </w:rPr>
        <w:t>两地</w:t>
      </w:r>
      <w:r>
        <w:rPr>
          <w:rFonts w:ascii="Times New Roman" w:hAnsi="Times New Roman"/>
        </w:rPr>
        <w:t>应统筹</w:t>
      </w:r>
      <w:r>
        <w:rPr>
          <w:rFonts w:hint="eastAsia" w:ascii="Times New Roman" w:hAnsi="Times New Roman"/>
        </w:rPr>
        <w:t>保护现状“500</w:t>
      </w:r>
      <w:r>
        <w:rPr>
          <w:rFonts w:ascii="Times New Roman" w:hAnsi="Times New Roman"/>
        </w:rPr>
        <w:t>kV</w:t>
      </w:r>
      <w:r>
        <w:rPr>
          <w:rFonts w:hint="eastAsia" w:ascii="Times New Roman" w:hAnsi="Times New Roman"/>
        </w:rPr>
        <w:t>太原侯村</w:t>
      </w:r>
      <w:r>
        <w:rPr>
          <w:rFonts w:ascii="Times New Roman" w:hAnsi="Times New Roman"/>
        </w:rPr>
        <w:t>变电站-</w:t>
      </w:r>
      <w:r>
        <w:rPr>
          <w:rFonts w:hint="eastAsia" w:ascii="Times New Roman" w:hAnsi="Times New Roman"/>
        </w:rPr>
        <w:t>500</w:t>
      </w:r>
      <w:r>
        <w:rPr>
          <w:rFonts w:ascii="Times New Roman" w:hAnsi="Times New Roman"/>
        </w:rPr>
        <w:t>kV</w:t>
      </w:r>
      <w:r>
        <w:rPr>
          <w:rFonts w:hint="eastAsia" w:ascii="Times New Roman" w:hAnsi="Times New Roman"/>
        </w:rPr>
        <w:t>晋中</w:t>
      </w:r>
      <w:r>
        <w:rPr>
          <w:rFonts w:ascii="Times New Roman" w:hAnsi="Times New Roman"/>
        </w:rPr>
        <w:t>福瑞变电站</w:t>
      </w:r>
      <w:r>
        <w:rPr>
          <w:rFonts w:hint="eastAsia" w:ascii="Times New Roman" w:hAnsi="Times New Roman"/>
        </w:rPr>
        <w:t>线路”、“220</w:t>
      </w:r>
      <w:r>
        <w:rPr>
          <w:rFonts w:ascii="Times New Roman" w:hAnsi="Times New Roman"/>
        </w:rPr>
        <w:t>kV</w:t>
      </w:r>
      <w:r>
        <w:rPr>
          <w:rFonts w:hint="eastAsia" w:ascii="Times New Roman" w:hAnsi="Times New Roman"/>
        </w:rPr>
        <w:t>太原</w:t>
      </w:r>
      <w:r>
        <w:rPr>
          <w:rFonts w:ascii="Times New Roman" w:hAnsi="Times New Roman"/>
        </w:rPr>
        <w:t>马庄变电站</w:t>
      </w:r>
      <w:r>
        <w:rPr>
          <w:rFonts w:hint="eastAsia" w:ascii="Times New Roman" w:hAnsi="Times New Roman"/>
        </w:rPr>
        <w:t>-500</w:t>
      </w:r>
      <w:r>
        <w:rPr>
          <w:rFonts w:ascii="Times New Roman" w:hAnsi="Times New Roman"/>
        </w:rPr>
        <w:t>kV晋中福瑞变电站线路</w:t>
      </w:r>
      <w:r>
        <w:rPr>
          <w:rFonts w:hint="eastAsia" w:ascii="Times New Roman" w:hAnsi="Times New Roman"/>
        </w:rPr>
        <w:t>”</w:t>
      </w:r>
      <w:r>
        <w:rPr>
          <w:rFonts w:ascii="Times New Roman" w:hAnsi="Times New Roman"/>
        </w:rPr>
        <w:t>、</w:t>
      </w:r>
      <w:r>
        <w:rPr>
          <w:rFonts w:hint="eastAsia" w:ascii="Times New Roman" w:hAnsi="Times New Roman"/>
        </w:rPr>
        <w:t>“</w:t>
      </w:r>
      <w:r>
        <w:rPr>
          <w:rFonts w:ascii="Times New Roman" w:hAnsi="Times New Roman"/>
        </w:rPr>
        <w:t>220kV太原马庄变电站</w:t>
      </w:r>
      <w:r>
        <w:rPr>
          <w:rFonts w:hint="eastAsia" w:ascii="Times New Roman" w:hAnsi="Times New Roman"/>
        </w:rPr>
        <w:t>-220</w:t>
      </w:r>
      <w:r>
        <w:rPr>
          <w:rFonts w:ascii="Times New Roman" w:hAnsi="Times New Roman"/>
        </w:rPr>
        <w:t>kV太原</w:t>
      </w:r>
      <w:r>
        <w:rPr>
          <w:rFonts w:hint="eastAsia" w:ascii="Times New Roman" w:hAnsi="Times New Roman"/>
        </w:rPr>
        <w:t>小店</w:t>
      </w:r>
      <w:r>
        <w:rPr>
          <w:rFonts w:ascii="Times New Roman" w:hAnsi="Times New Roman"/>
        </w:rPr>
        <w:t>变电站线路</w:t>
      </w:r>
      <w:r>
        <w:rPr>
          <w:rFonts w:hint="eastAsia" w:ascii="Times New Roman" w:hAnsi="Times New Roman"/>
        </w:rPr>
        <w:t>”</w:t>
      </w:r>
      <w:r>
        <w:rPr>
          <w:rFonts w:ascii="Times New Roman" w:hAnsi="Times New Roman"/>
        </w:rPr>
        <w:t>高压廊道用地</w:t>
      </w:r>
      <w:r>
        <w:rPr>
          <w:rFonts w:hint="eastAsia" w:ascii="Times New Roman" w:hAnsi="Times New Roman"/>
        </w:rPr>
        <w:t>。</w:t>
      </w:r>
    </w:p>
    <w:p>
      <w:pPr>
        <w:pStyle w:val="3"/>
        <w:spacing w:before="156" w:after="156"/>
      </w:pPr>
      <w:bookmarkStart w:id="193" w:name="_Toc492850106"/>
      <w:r>
        <w:rPr>
          <w:rFonts w:hint="eastAsia"/>
        </w:rPr>
        <w:t>第三节 榆次、太谷统筹协调规划</w:t>
      </w:r>
      <w:bookmarkEnd w:id="193"/>
    </w:p>
    <w:p>
      <w:pPr>
        <w:pStyle w:val="4"/>
        <w:tabs>
          <w:tab w:val="left" w:pos="993"/>
          <w:tab w:val="clear" w:pos="1260"/>
        </w:tabs>
        <w:spacing w:beforeLines="0" w:after="260" w:line="416" w:lineRule="auto"/>
        <w:ind w:left="851" w:hanging="834"/>
      </w:pPr>
      <w:r>
        <w:rPr>
          <w:rFonts w:hint="eastAsia"/>
        </w:rPr>
        <w:t>空间布局协调</w:t>
      </w:r>
    </w:p>
    <w:p>
      <w:pPr>
        <w:spacing w:before="156"/>
      </w:pPr>
      <w:r>
        <w:rPr>
          <w:rFonts w:hint="eastAsia"/>
        </w:rPr>
        <w:t>总体形成“两带两轴”的空间结构。</w:t>
      </w:r>
    </w:p>
    <w:p>
      <w:pPr>
        <w:spacing w:before="156"/>
      </w:pPr>
      <w:r>
        <w:rPr>
          <w:rFonts w:hint="eastAsia"/>
        </w:rPr>
        <w:t>两带即108国道发展带和太太路发展带。其中108国道发展带是区域大运综合发展轴的重要组成部分，以主城区和太谷组团为重要支撑，同时串联综改示范区潇河产业园区（晋中部分）、东阳、胡村等重要组团。太太路发展带向北衔接太原都市区中部城市拓展轴，串联太原南部城区、潇河组团、水秀组团和太谷组团，引导太原都市区有序拓展。</w:t>
      </w:r>
    </w:p>
    <w:p>
      <w:pPr>
        <w:spacing w:before="156"/>
      </w:pPr>
      <w:r>
        <w:rPr>
          <w:rFonts w:hint="eastAsia"/>
        </w:rPr>
        <w:t>结合现状城镇发展基础，依托高速公路、国道等区域交通基础设施，形成太长发展轴和太旧发展轴，强化核心组团与外围城镇节点之间的联系，构建高效、有序发展的空间结构。</w:t>
      </w:r>
    </w:p>
    <w:p>
      <w:pPr>
        <w:pStyle w:val="4"/>
        <w:tabs>
          <w:tab w:val="left" w:pos="993"/>
          <w:tab w:val="clear" w:pos="1260"/>
        </w:tabs>
        <w:spacing w:beforeLines="0" w:after="260" w:line="416" w:lineRule="auto"/>
        <w:ind w:left="851" w:hanging="834"/>
      </w:pPr>
      <w:r>
        <w:rPr>
          <w:rFonts w:hint="eastAsia"/>
        </w:rPr>
        <w:t>城镇发展协调</w:t>
      </w:r>
    </w:p>
    <w:p>
      <w:pPr>
        <w:pStyle w:val="131"/>
        <w:spacing w:before="156"/>
        <w:ind w:left="960"/>
      </w:pPr>
      <w:r>
        <w:rPr>
          <w:rFonts w:hint="eastAsia"/>
        </w:rPr>
        <w:t>（1）主城区</w:t>
      </w:r>
    </w:p>
    <w:p>
      <w:pPr>
        <w:spacing w:before="156"/>
      </w:pPr>
      <w:r>
        <w:rPr>
          <w:rFonts w:hint="eastAsia"/>
        </w:rPr>
        <w:t>主城区是与太原同城发展的省域核心；山西省中部的交通枢纽和商贸物流基地；山西省以机械装备、汽车为主的先进制造业基地；山西省重要的高等教育中心和研发培训基地；品质优良、文化底蕴深厚的宜居城市。</w:t>
      </w:r>
    </w:p>
    <w:p>
      <w:pPr>
        <w:spacing w:before="156"/>
      </w:pPr>
      <w:r>
        <w:rPr>
          <w:rFonts w:hint="eastAsia"/>
        </w:rPr>
        <w:t>大力发展现代服务业，加快区域商贸物流中心、教育科研中心、旅游服务中心的建设，完善区域服务职能。充分利用机械装备、食品加工等产业雄厚的基础，做大做强先进装备制造业，提升产品的市场竞争力，并通过上下游的产业链关系，联动太谷等周边地区，打造新能源汽车产业集群，辐射带动周边城镇发展。</w:t>
      </w:r>
    </w:p>
    <w:p>
      <w:pPr>
        <w:pStyle w:val="131"/>
        <w:spacing w:before="156"/>
        <w:ind w:left="960"/>
      </w:pPr>
      <w:r>
        <w:rPr>
          <w:rFonts w:hint="eastAsia"/>
        </w:rPr>
        <w:t>（2）潇河产业园区（晋中部分）</w:t>
      </w:r>
    </w:p>
    <w:p>
      <w:pPr>
        <w:spacing w:before="156"/>
      </w:pPr>
      <w:r>
        <w:rPr>
          <w:rFonts w:hint="eastAsia"/>
        </w:rPr>
        <w:t>山西转型综改示范区的重要现代产业园区，能源资源型产业转型升级、科技成果转化基地，山西省装备制造、战略性新兴产业、高新技术等高端产业承载区。</w:t>
      </w:r>
    </w:p>
    <w:p>
      <w:pPr>
        <w:spacing w:before="156"/>
      </w:pPr>
      <w:r>
        <w:rPr>
          <w:rFonts w:hint="eastAsia"/>
        </w:rPr>
        <w:t>立足科技创新城核心区能源科技创新优势，加强科技成果转化，先行先试，带动太原都市圈的产业转型升级。</w:t>
      </w:r>
    </w:p>
    <w:p>
      <w:pPr>
        <w:spacing w:before="156"/>
      </w:pPr>
      <w:r>
        <w:rPr>
          <w:rFonts w:hint="eastAsia"/>
        </w:rPr>
        <w:t>加快产业转型升级，建成以新能源汽车配套、循环经济为主的产业组团。</w:t>
      </w:r>
    </w:p>
    <w:p>
      <w:pPr>
        <w:spacing w:before="156"/>
      </w:pPr>
      <w:r>
        <w:rPr>
          <w:rFonts w:hint="eastAsia"/>
        </w:rPr>
        <w:t>依托便捷的交通条件，引入国内外知名物流企业，建成煤炭专业化物流中心，成为煤炭及相关产品的集散、转运中心。</w:t>
      </w:r>
    </w:p>
    <w:p>
      <w:pPr>
        <w:pStyle w:val="131"/>
        <w:spacing w:before="156"/>
        <w:ind w:left="0" w:leftChars="0" w:firstLine="480" w:firstLineChars="200"/>
      </w:pPr>
      <w:r>
        <w:rPr>
          <w:rFonts w:hint="eastAsia"/>
        </w:rPr>
        <w:t>（3）太谷组团</w:t>
      </w:r>
    </w:p>
    <w:p>
      <w:pPr>
        <w:spacing w:before="156"/>
      </w:pPr>
      <w:r>
        <w:rPr>
          <w:rFonts w:hint="eastAsia"/>
        </w:rPr>
        <w:t>山西“农谷”核心区、国家现代农业示范区、山西省现代农业和新型加工业基地，晋商传统文化发展的策源地。</w:t>
      </w:r>
    </w:p>
    <w:p>
      <w:pPr>
        <w:spacing w:before="156"/>
      </w:pPr>
      <w:r>
        <w:rPr>
          <w:rFonts w:hint="eastAsia"/>
        </w:rPr>
        <w:t>服务于山西”农谷”，以山西农业大学为核心，突出农业科技创新、农业高新技术服务、农业创新创业企业孵化、农业人才培养和聚集四大功能，创建全省农业服务现代化示范，引领示范、辐射带动全省现代农业发展。</w:t>
      </w:r>
    </w:p>
    <w:p>
      <w:pPr>
        <w:spacing w:before="156"/>
      </w:pPr>
      <w:r>
        <w:rPr>
          <w:rFonts w:hint="eastAsia"/>
        </w:rPr>
        <w:t>以晋商文化为特色的历史文化名城，以文化教育、旅游休闲、商贸流通、食品饮料及农副产品深加工、一般加工制造等为主的太原都市区外围新城。强化地方特色文化，强化基础教育职能，营造良好的生态人文环境，构建独具吸引力的休闲度假区和精品宜居城市。</w:t>
      </w:r>
    </w:p>
    <w:p>
      <w:pPr>
        <w:pStyle w:val="4"/>
        <w:tabs>
          <w:tab w:val="left" w:pos="993"/>
          <w:tab w:val="clear" w:pos="1260"/>
        </w:tabs>
        <w:spacing w:beforeLines="0" w:after="260" w:line="416" w:lineRule="auto"/>
        <w:ind w:left="851" w:hanging="834"/>
      </w:pPr>
      <w:r>
        <w:rPr>
          <w:rFonts w:hint="eastAsia"/>
        </w:rPr>
        <w:t>交通系统统筹规划</w:t>
      </w:r>
    </w:p>
    <w:p>
      <w:pPr>
        <w:pStyle w:val="131"/>
        <w:spacing w:before="156"/>
        <w:ind w:left="960"/>
      </w:pPr>
      <w:r>
        <w:rPr>
          <w:rFonts w:hint="eastAsia"/>
        </w:rPr>
        <w:t>（1）提升对外交通辐射能力</w:t>
      </w:r>
    </w:p>
    <w:p>
      <w:pPr>
        <w:spacing w:before="156"/>
      </w:pPr>
      <w:r>
        <w:rPr>
          <w:rFonts w:hint="eastAsia"/>
        </w:rPr>
        <w:t>规划太郑客专在太原-榆次-太谷段与大西客专共线，通过太谷西站分别至西安、郑州两个方向，相应提升晋中站、太谷西站面向长治、郑州、西安等方向的区域可达性。</w:t>
      </w:r>
    </w:p>
    <w:p>
      <w:pPr>
        <w:spacing w:before="156"/>
      </w:pPr>
      <w:r>
        <w:rPr>
          <w:rFonts w:hint="eastAsia"/>
        </w:rPr>
        <w:t>规划新建太原-昔阳-黄骅高速公路，新增G339、G340及多条公路联络线，实现重要公路改造升级，形成主城区向七个方向的对外公路快捷联系，相应强化榆次枢纽中心性功能；强化太谷组团与大运、太长、太原-昔阳-黄骅等多条高速公路衔接，以G340、G108等为骨架，实现面向区域的便捷联系。</w:t>
      </w:r>
    </w:p>
    <w:p>
      <w:pPr>
        <w:pStyle w:val="131"/>
        <w:spacing w:before="156"/>
        <w:ind w:left="960"/>
      </w:pPr>
      <w:r>
        <w:rPr>
          <w:rFonts w:hint="eastAsia"/>
        </w:rPr>
        <w:t>（2）统筹对接公路/道路系统</w:t>
      </w:r>
    </w:p>
    <w:p>
      <w:pPr>
        <w:spacing w:before="156"/>
      </w:pPr>
      <w:r>
        <w:rPr>
          <w:rFonts w:hint="eastAsia"/>
        </w:rPr>
        <w:t>强化太原、主城区、太谷组团之间交通联系，同时加强主城区与太谷、协调区内主要城镇间交通联系，增加通道数量，提升道路级别，共同构筑一体化的交通体系。</w:t>
      </w:r>
    </w:p>
    <w:p>
      <w:pPr>
        <w:spacing w:before="156"/>
      </w:pPr>
      <w:r>
        <w:rPr>
          <w:rFonts w:hint="eastAsia"/>
        </w:rPr>
        <w:t>规划在主城区与太谷组团之间，形成榆祁高速-太太路（S106）、G108、G208外绕线-太太路（S106）三通道便捷联系，带动沿线综改示范区潇河产业园区（晋中部分）、胡村、水秀等组团发展。规划太谷组团与太原之间，形成太太路、G208等多条公路对接，便于承接太原对太谷组团及周边组团的辐射带动。</w:t>
      </w:r>
    </w:p>
    <w:p>
      <w:pPr>
        <w:spacing w:before="156"/>
      </w:pPr>
      <w:r>
        <w:rPr>
          <w:rFonts w:hint="eastAsia"/>
        </w:rPr>
        <w:t>完善以主城区为中心的公路网络，规划利用太旧高速、榆次-昔阳高速、太长高速等高速公路和G339、S216、S318、S102等干线公路，实现主城区与协调区内主要城镇对接联系。</w:t>
      </w:r>
    </w:p>
    <w:p>
      <w:pPr>
        <w:spacing w:before="156"/>
      </w:pPr>
      <w:r>
        <w:rPr>
          <w:rFonts w:hint="eastAsia"/>
        </w:rPr>
        <w:t>发挥太谷组团面向太谷县域主要城镇辐射带动作用，利用G108、G340、S106等干线公路，提升主要城镇交通可达性，凸显太谷组团作为协调区交通组织副中心功能。</w:t>
      </w:r>
    </w:p>
    <w:p>
      <w:pPr>
        <w:pStyle w:val="131"/>
        <w:spacing w:before="156"/>
        <w:ind w:left="960"/>
      </w:pPr>
      <w:r>
        <w:rPr>
          <w:rFonts w:hint="eastAsia"/>
        </w:rPr>
        <w:t>（3）利用城际列车密切铁路客运联系</w:t>
      </w:r>
    </w:p>
    <w:p>
      <w:pPr>
        <w:spacing w:before="156"/>
      </w:pPr>
      <w:r>
        <w:rPr>
          <w:rFonts w:hint="eastAsia"/>
        </w:rPr>
        <w:t>规划利用大西客专开行城际列车，强化主城区与太谷县之间的铁路客运服务水平。远景利用南同蒲线及相关场站设施，发展榆次城区联系协调区内沿线城镇及太谷组团的市域轨道系统。</w:t>
      </w:r>
    </w:p>
    <w:p>
      <w:pPr>
        <w:spacing w:before="156"/>
      </w:pPr>
      <w:r>
        <w:rPr>
          <w:rFonts w:hint="eastAsia"/>
        </w:rPr>
        <w:t>建立晋中高铁站、太谷西站与协调区内主要城镇的公交化客运服务，扩大主要铁路客站的服务腹地范围。</w:t>
      </w:r>
    </w:p>
    <w:p>
      <w:pPr>
        <w:pStyle w:val="131"/>
        <w:spacing w:before="156"/>
        <w:ind w:left="960"/>
      </w:pPr>
      <w:r>
        <w:rPr>
          <w:rFonts w:hint="eastAsia"/>
        </w:rPr>
        <w:t>（4）实现公交客运一体化</w:t>
      </w:r>
    </w:p>
    <w:p>
      <w:pPr>
        <w:spacing w:before="156"/>
      </w:pPr>
      <w:r>
        <w:rPr>
          <w:rFonts w:hint="eastAsia"/>
        </w:rPr>
        <w:t>依托榆次火车站、公路客运站、晋中高铁站等交通枢纽，拓展公交服务功能，新增公交线路，进一步强化主城区与太原市间公交服务水平，建立主城区与太谷组团、潇河产业园区（晋中部分）、东阳镇、胡村镇等的公交化联系。</w:t>
      </w:r>
    </w:p>
    <w:p>
      <w:pPr>
        <w:spacing w:before="156"/>
      </w:pPr>
      <w:r>
        <w:rPr>
          <w:rFonts w:hint="eastAsia"/>
        </w:rPr>
        <w:t>依托太谷站、太谷西站等交通枢纽，在增强与太原市、主城区公交联系的同时，强化面向水秀、胡村、范村、小白、任村等主要乡镇的公交服务。</w:t>
      </w:r>
    </w:p>
    <w:p>
      <w:pPr>
        <w:pStyle w:val="131"/>
        <w:spacing w:before="156"/>
        <w:ind w:left="960"/>
      </w:pPr>
      <w:r>
        <w:rPr>
          <w:rFonts w:hint="eastAsia"/>
        </w:rPr>
        <w:t>（5）合理布局物流设施</w:t>
      </w:r>
    </w:p>
    <w:p>
      <w:pPr>
        <w:spacing w:before="156"/>
      </w:pPr>
      <w:r>
        <w:rPr>
          <w:rFonts w:hint="eastAsia"/>
        </w:rPr>
        <w:t>与产业及对外交通设施布局相结合，统筹考虑物流中心布设。在主城区划形成</w:t>
      </w:r>
      <w:r>
        <w:t>北六堡区域性综合物流园区</w:t>
      </w:r>
      <w:r>
        <w:rPr>
          <w:rFonts w:hint="eastAsia"/>
        </w:rPr>
        <w:t>、</w:t>
      </w:r>
      <w:r>
        <w:t>城东地区性物流中心</w:t>
      </w:r>
      <w:r>
        <w:rPr>
          <w:rFonts w:hint="eastAsia"/>
        </w:rPr>
        <w:t>及潇河产业园区（晋中部分）</w:t>
      </w:r>
      <w:r>
        <w:t>的煤焦专业化物流中心</w:t>
      </w:r>
      <w:r>
        <w:rPr>
          <w:rFonts w:hint="eastAsia"/>
        </w:rPr>
        <w:t>。</w:t>
      </w:r>
    </w:p>
    <w:p>
      <w:pPr>
        <w:spacing w:before="156"/>
      </w:pPr>
      <w:r>
        <w:rPr>
          <w:rFonts w:hint="eastAsia"/>
        </w:rPr>
        <w:t>在太谷结合产业园区功能，在太谷站东侧及水秀、胡村等交通便利、产业集聚的重点园区布设物流中心。</w:t>
      </w:r>
    </w:p>
    <w:p>
      <w:pPr>
        <w:pStyle w:val="4"/>
        <w:tabs>
          <w:tab w:val="left" w:pos="993"/>
          <w:tab w:val="clear" w:pos="1260"/>
        </w:tabs>
        <w:spacing w:before="312"/>
        <w:ind w:left="851" w:hanging="834"/>
      </w:pPr>
      <w:r>
        <w:rPr>
          <w:rFonts w:hint="eastAsia"/>
        </w:rPr>
        <w:t>市政基础设施协调规划</w:t>
      </w:r>
    </w:p>
    <w:p>
      <w:pPr>
        <w:pStyle w:val="131"/>
        <w:spacing w:before="156"/>
        <w:ind w:left="960"/>
      </w:pPr>
      <w:r>
        <w:rPr>
          <w:rFonts w:hint="eastAsia"/>
        </w:rPr>
        <w:t>（1）供水工程</w:t>
      </w:r>
    </w:p>
    <w:p>
      <w:pPr>
        <w:spacing w:before="156"/>
      </w:pPr>
      <w:r>
        <w:rPr>
          <w:rFonts w:hint="eastAsia"/>
        </w:rPr>
        <w:t>晋中市供水水源应结合当地水源类型以及用水形式统筹规划，应稳定本地水资源利用，加快区域协调调水工程建设，并以非常规水资源进行水源补充，缓解水资源压力并改善水环境。</w:t>
      </w:r>
    </w:p>
    <w:p>
      <w:pPr>
        <w:spacing w:before="156"/>
      </w:pPr>
      <w:r>
        <w:rPr>
          <w:rFonts w:hint="eastAsia"/>
        </w:rPr>
        <w:t>主城区第一水厂停产备用；第二水厂、第三水厂设备更新，提升现状供水能力；保留第四水厂。加强太榆协调的引黄外调工程以及再生水回用。</w:t>
      </w:r>
    </w:p>
    <w:p>
      <w:pPr>
        <w:spacing w:before="156"/>
      </w:pPr>
      <w:r>
        <w:rPr>
          <w:rFonts w:hint="eastAsia"/>
        </w:rPr>
        <w:t>太谷组团扩建杨家庄水厂，同时新建城南水厂，水源来自东山引水工程。</w:t>
      </w:r>
    </w:p>
    <w:p>
      <w:pPr>
        <w:spacing w:before="156"/>
      </w:pPr>
      <w:r>
        <w:rPr>
          <w:rFonts w:hint="eastAsia"/>
        </w:rPr>
        <w:t>潇河组团新建一座产业区联合供水水厂。</w:t>
      </w:r>
    </w:p>
    <w:p>
      <w:pPr>
        <w:spacing w:before="156"/>
      </w:pPr>
      <w:r>
        <w:rPr>
          <w:rFonts w:hint="eastAsia"/>
        </w:rPr>
        <w:t>其余周边乡镇，可依据“城乡供水一体化，农村供水城市化”的思路，尽量将主城区和县城供水管网延伸到周边乡镇，统一解决农村用水需求；对于位置比较偏远，人口相对稀疏的个别村镇，可以优先考虑自备水井的供水，待条件成熟时再发展统一供水。</w:t>
      </w:r>
    </w:p>
    <w:p>
      <w:pPr>
        <w:pStyle w:val="131"/>
        <w:spacing w:before="156"/>
        <w:ind w:left="960"/>
      </w:pPr>
      <w:r>
        <w:rPr>
          <w:rFonts w:hint="eastAsia"/>
        </w:rPr>
        <w:t>（2）排水工程</w:t>
      </w:r>
    </w:p>
    <w:p>
      <w:pPr>
        <w:spacing w:before="156"/>
      </w:pPr>
      <w:r>
        <w:rPr>
          <w:rFonts w:hint="eastAsia"/>
        </w:rPr>
        <w:t>主城区</w:t>
      </w:r>
      <w:r>
        <w:t>排水体制为雨污分流制，</w:t>
      </w:r>
      <w:r>
        <w:rPr>
          <w:rFonts w:hint="eastAsia"/>
        </w:rPr>
        <w:t>榆次老城内</w:t>
      </w:r>
      <w:r>
        <w:t>原有的合流制管道</w:t>
      </w:r>
      <w:r>
        <w:rPr>
          <w:rFonts w:hint="eastAsia"/>
        </w:rPr>
        <w:t>逐步</w:t>
      </w:r>
      <w:r>
        <w:t>改为雨水管道，另外重新铺设污水管道</w:t>
      </w:r>
      <w:r>
        <w:rPr>
          <w:rFonts w:hint="eastAsia"/>
        </w:rPr>
        <w:t>。太谷组团古城及旧城区改造成截流式雨污合流，新城区雨污分流。根据科技创新城的气候特点和地形条件，规划采用完全雨污分流制。</w:t>
      </w:r>
    </w:p>
    <w:p>
      <w:pPr>
        <w:spacing w:before="156"/>
      </w:pPr>
      <w:r>
        <w:rPr>
          <w:rFonts w:hint="eastAsia"/>
        </w:rPr>
        <w:t>主城区规划取消第一污水处理厂，扩建第二污水处理厂和新建高教园污水处理厂，同时新增污水再生回用设施。</w:t>
      </w:r>
    </w:p>
    <w:p>
      <w:pPr>
        <w:spacing w:before="156"/>
      </w:pPr>
      <w:r>
        <w:rPr>
          <w:rFonts w:hint="eastAsia"/>
        </w:rPr>
        <w:t>扩建太谷组团污水处理厂，同步完善排水管网建设。</w:t>
      </w:r>
    </w:p>
    <w:p>
      <w:pPr>
        <w:spacing w:before="156"/>
      </w:pPr>
      <w:r>
        <w:rPr>
          <w:rFonts w:hint="eastAsia"/>
        </w:rPr>
        <w:t>潇河组团新建一座污水厂。</w:t>
      </w:r>
    </w:p>
    <w:p>
      <w:pPr>
        <w:pStyle w:val="131"/>
        <w:spacing w:before="156"/>
        <w:ind w:left="960"/>
      </w:pPr>
      <w:r>
        <w:rPr>
          <w:rFonts w:hint="eastAsia"/>
        </w:rPr>
        <w:t>（3）供电工程</w:t>
      </w:r>
    </w:p>
    <w:p>
      <w:pPr>
        <w:spacing w:before="156"/>
      </w:pPr>
      <w:r>
        <w:rPr>
          <w:rFonts w:hint="eastAsia"/>
        </w:rPr>
        <w:t>适时扩容瑞光热电厂、国电榆次热电厂、中煤京达余热发电厂；在太谷组团及潇河组团预留太谷热电联产项目用地；扩容500kV福瑞变电站、扩容500kV晋中变电站、适时新建潇河组团500kV变电站。</w:t>
      </w:r>
    </w:p>
    <w:p>
      <w:pPr>
        <w:spacing w:before="156"/>
      </w:pPr>
      <w:r>
        <w:rPr>
          <w:rFonts w:hint="eastAsia"/>
        </w:rPr>
        <w:t>保留现状主城区北部太旧高速公路北侧高压走廊，控制宽度为400-500米；保留主城区西部500kV高压走廊，该走廊潇河以北不再新增输电线路，控制宽度为100米；依据《山西省科技创新城主题区总体规划》，考虑对穿越潇河组团内的500kV高压线路进行局部改线；潇河组团以南高压走廊宽度按250米控制；太谷县阳邑乡、侯城乡等乡镇预留新增500kV高压走廊用地，控制宽度为100米。</w:t>
      </w:r>
    </w:p>
    <w:p>
      <w:pPr>
        <w:pStyle w:val="131"/>
        <w:spacing w:before="156"/>
        <w:ind w:left="960"/>
      </w:pPr>
      <w:r>
        <w:rPr>
          <w:rFonts w:hint="eastAsia"/>
        </w:rPr>
        <w:t>（4）燃气工程</w:t>
      </w:r>
    </w:p>
    <w:p>
      <w:pPr>
        <w:spacing w:before="156"/>
      </w:pPr>
      <w:r>
        <w:rPr>
          <w:rFonts w:hint="eastAsia"/>
        </w:rPr>
        <w:t>协调发展区以“陕京二线大盂</w:t>
      </w:r>
      <w:r>
        <w:rPr>
          <w:rFonts w:hint="eastAsia"/>
        </w:rPr>
        <w:softHyphen/>
      </w:r>
      <w:r>
        <w:rPr>
          <w:rFonts w:hint="eastAsia"/>
        </w:rPr>
        <w:t>—平遥”输气管线天然气及“长治-太原”煤层气管线煤层气为主要供气气源。</w:t>
      </w:r>
    </w:p>
    <w:p>
      <w:pPr>
        <w:spacing w:before="156"/>
      </w:pPr>
      <w:r>
        <w:rPr>
          <w:rFonts w:hint="eastAsia"/>
        </w:rPr>
        <w:t>统筹协调发展区内乡镇气源建设。乌金山镇、潇河产业园区（晋中部分）天然气管道统一纳入主城区天然气管网建设；主城区周边什贴镇、北田镇、东阳镇、长凝镇以中心城区LNG储配站、天然气次高压调压站等为气源。</w:t>
      </w:r>
    </w:p>
    <w:p>
      <w:pPr>
        <w:spacing w:before="156"/>
      </w:pPr>
      <w:r>
        <w:rPr>
          <w:rFonts w:hint="eastAsia"/>
        </w:rPr>
        <w:t>将太谷现状门站迁建至水秀乡西北侧，平川地区临近县城的镇区及水秀工业区、胡村工业区、南山医药园区等以太谷天然气门站为气源。</w:t>
      </w:r>
    </w:p>
    <w:p>
      <w:pPr>
        <w:spacing w:before="156"/>
      </w:pPr>
      <w:r>
        <w:rPr>
          <w:rFonts w:hint="eastAsia"/>
        </w:rPr>
        <w:t>协调区内其余山区乡镇及农村地区因地制宜地采用液化石油气、集中或小型分散式沼气池以及秸秆气化站供气。</w:t>
      </w:r>
    </w:p>
    <w:p>
      <w:pPr>
        <w:spacing w:before="156"/>
      </w:pPr>
      <w:r>
        <w:rPr>
          <w:rFonts w:hint="eastAsia"/>
        </w:rPr>
        <w:t>对穿越协调发展区城市建设用地的输气管线进行迁建调整。其余燃气长输管道予以保留，周边建筑与燃气长输管线距离应满足《</w:t>
      </w:r>
      <w:r>
        <w:fldChar w:fldCharType="begin"/>
      </w:r>
      <w:r>
        <w:instrText xml:space="preserve"> HYPERLINK "http://www.baidu.com/link?url=Vaqbv_kZqQq63PjMtUhS0Z7ErOsMkD1N2k_bbeBqEjPKdIpDt3bYynd6FAUJbKFk" \t "_blank" </w:instrText>
      </w:r>
      <w:r>
        <w:fldChar w:fldCharType="separate"/>
      </w:r>
      <w:r>
        <w:t>石油天然气管道保护条例</w:t>
      </w:r>
      <w:r>
        <w:fldChar w:fldCharType="end"/>
      </w:r>
      <w:r>
        <w:rPr>
          <w:rFonts w:hint="eastAsia"/>
        </w:rPr>
        <w:t>-</w:t>
      </w:r>
      <w:r>
        <w:t>国务院令</w:t>
      </w:r>
      <w:r>
        <w:rPr>
          <w:rFonts w:hint="eastAsia"/>
        </w:rPr>
        <w:t>第313号》、《城镇燃气规划规范GB50028》等规范要求。</w:t>
      </w:r>
    </w:p>
    <w:p>
      <w:pPr>
        <w:pStyle w:val="131"/>
        <w:spacing w:before="156"/>
        <w:ind w:left="960"/>
      </w:pPr>
      <w:r>
        <w:rPr>
          <w:rFonts w:hint="eastAsia"/>
        </w:rPr>
        <w:t>（5）供热工程</w:t>
      </w:r>
    </w:p>
    <w:p>
      <w:pPr>
        <w:spacing w:before="156"/>
      </w:pPr>
      <w:r>
        <w:rPr>
          <w:rFonts w:hint="eastAsia"/>
        </w:rPr>
        <w:t>主城区以瑞光热电厂、国电榆次热电厂及规划热源厂为主要热源，乌金山镇、</w:t>
      </w:r>
      <w:r>
        <w:rPr>
          <w:rFonts w:hint="eastAsia" w:ascii="宋体" w:hAnsi="宋体"/>
        </w:rPr>
        <w:t>潇河产业园区</w:t>
      </w:r>
      <w:r>
        <w:rPr>
          <w:rFonts w:hint="eastAsia"/>
        </w:rPr>
        <w:t>（晋中部分）统一纳入主城区供热管网；太谷组团以恒达煤气化余热电厂、农大调峰锅炉房为主要热源，并预留太谷热电联产、水秀热源厂等热源建设用地，水秀乡驻地统一纳入太谷组团供热管网；潇河组团以规划热电厂为主要热源；其余各乡镇驻地建议采用区域清洁燃煤热源厂为主要热源，锅炉单台装机规模不宜小于29MW；农村地区采用小锅炉房集中供热或节能吊炕采暖。</w:t>
      </w:r>
    </w:p>
    <w:p>
      <w:pPr>
        <w:pStyle w:val="131"/>
        <w:spacing w:before="156"/>
        <w:ind w:left="960"/>
      </w:pPr>
      <w:r>
        <w:rPr>
          <w:rFonts w:hint="eastAsia"/>
        </w:rPr>
        <w:t>（6）环卫工程</w:t>
      </w:r>
    </w:p>
    <w:p>
      <w:pPr>
        <w:spacing w:before="156"/>
      </w:pPr>
      <w:r>
        <w:t>规划原址建设杨梁垃圾综合处理场，包括：扩建现状杨梁村生活垃圾填埋场，处理规模达到1485吨/日，处理方式以卫生填埋为主，焚烧处理为辅；改建杨梁医疗废物处理场，处理规模为5吨/日；新建杨梁建筑垃圾处理场一座，占地面积5000平方米。</w:t>
      </w:r>
    </w:p>
    <w:p>
      <w:pPr>
        <w:spacing w:before="156"/>
      </w:pPr>
      <w:r>
        <w:rPr>
          <w:rFonts w:hint="eastAsia"/>
        </w:rPr>
        <w:t>预测到2030年太谷组团垃圾产生总量为330吨/日。规划在太谷组团城外新建生活垃圾处理场1座，设计规模400吨/日，并预留扩建的余地。</w:t>
      </w:r>
    </w:p>
    <w:p>
      <w:pPr>
        <w:pStyle w:val="2"/>
        <w:spacing w:before="156"/>
        <w:ind w:left="1134" w:hanging="600"/>
        <w:sectPr>
          <w:pgSz w:w="11906" w:h="16838"/>
          <w:pgMar w:top="1440" w:right="1800" w:bottom="1440" w:left="1800" w:header="851" w:footer="992" w:gutter="0"/>
          <w:cols w:space="425" w:num="1"/>
          <w:docGrid w:type="lines" w:linePitch="312" w:charSpace="0"/>
        </w:sectPr>
      </w:pPr>
      <w:bookmarkStart w:id="194" w:name="_Toc277460741"/>
      <w:bookmarkStart w:id="195" w:name="_Toc275418508"/>
      <w:bookmarkStart w:id="196" w:name="_Toc277459700"/>
      <w:bookmarkStart w:id="197" w:name="_Toc277460147"/>
      <w:bookmarkStart w:id="198" w:name="_Toc275417943"/>
      <w:bookmarkStart w:id="199" w:name="_Toc277460584"/>
      <w:bookmarkStart w:id="200" w:name="_Toc277460898"/>
    </w:p>
    <w:p>
      <w:pPr>
        <w:pStyle w:val="2"/>
        <w:spacing w:before="156"/>
        <w:ind w:left="1134" w:hanging="600"/>
      </w:pPr>
      <w:bookmarkStart w:id="201" w:name="_Toc492850107"/>
      <w:r>
        <w:rPr>
          <w:rFonts w:hint="eastAsia"/>
        </w:rPr>
        <w:t>规划区城乡统筹规划</w:t>
      </w:r>
      <w:bookmarkEnd w:id="201"/>
    </w:p>
    <w:p>
      <w:pPr>
        <w:pStyle w:val="3"/>
        <w:spacing w:before="156" w:after="156"/>
      </w:pPr>
      <w:bookmarkStart w:id="202" w:name="_Toc492850108"/>
      <w:r>
        <w:rPr>
          <w:rFonts w:hint="eastAsia"/>
        </w:rPr>
        <w:t>第一节发展规模控制</w:t>
      </w:r>
      <w:bookmarkEnd w:id="202"/>
    </w:p>
    <w:p>
      <w:pPr>
        <w:pStyle w:val="4"/>
        <w:tabs>
          <w:tab w:val="left" w:pos="993"/>
          <w:tab w:val="clear" w:pos="1260"/>
        </w:tabs>
        <w:spacing w:before="312"/>
        <w:ind w:left="851" w:hanging="834"/>
      </w:pPr>
      <w:r>
        <w:rPr>
          <w:rFonts w:hint="eastAsia"/>
        </w:rPr>
        <w:t>人口规模预测</w:t>
      </w:r>
    </w:p>
    <w:p>
      <w:pPr>
        <w:spacing w:before="156"/>
      </w:pPr>
      <w:r>
        <w:rPr>
          <w:rFonts w:hint="eastAsia"/>
        </w:rPr>
        <w:t>预测规划区2030年总人口规模约为</w:t>
      </w:r>
      <w:r>
        <w:t>145</w:t>
      </w:r>
      <w:r>
        <w:rPr>
          <w:rFonts w:hint="eastAsia"/>
        </w:rPr>
        <w:t>万人，城镇人口1</w:t>
      </w:r>
      <w:r>
        <w:t>38</w:t>
      </w:r>
      <w:r>
        <w:rPr>
          <w:rFonts w:hint="eastAsia"/>
        </w:rPr>
        <w:t>万人，城镇化水平95%。</w:t>
      </w:r>
    </w:p>
    <w:p>
      <w:pPr>
        <w:pStyle w:val="4"/>
        <w:tabs>
          <w:tab w:val="left" w:pos="993"/>
          <w:tab w:val="clear" w:pos="1260"/>
        </w:tabs>
        <w:spacing w:before="312"/>
        <w:ind w:left="851" w:hanging="834"/>
      </w:pPr>
      <w:r>
        <w:rPr>
          <w:rFonts w:hint="eastAsia"/>
        </w:rPr>
        <w:t>城镇人口分布</w:t>
      </w:r>
    </w:p>
    <w:p>
      <w:pPr>
        <w:spacing w:before="156"/>
      </w:pPr>
      <w:r>
        <w:rPr>
          <w:rFonts w:hint="eastAsia"/>
        </w:rPr>
        <w:t>规划期末，规划区城镇人口总计1</w:t>
      </w:r>
      <w:r>
        <w:t>38</w:t>
      </w:r>
      <w:r>
        <w:rPr>
          <w:rFonts w:hint="eastAsia"/>
        </w:rPr>
        <w:t>万人，各组团的人口规模分布如下：</w:t>
      </w:r>
    </w:p>
    <w:p>
      <w:pPr>
        <w:spacing w:before="156"/>
      </w:pPr>
      <w:r>
        <w:rPr>
          <w:rFonts w:hint="eastAsia"/>
        </w:rPr>
        <w:t>晋中中心城区：1</w:t>
      </w:r>
      <w:r>
        <w:t>32</w:t>
      </w:r>
      <w:r>
        <w:rPr>
          <w:rFonts w:hint="eastAsia"/>
        </w:rPr>
        <w:t>万人，包括主城区、潇河起步区。</w:t>
      </w:r>
    </w:p>
    <w:p>
      <w:pPr>
        <w:spacing w:before="156"/>
      </w:pPr>
      <w:r>
        <w:rPr>
          <w:rFonts w:hint="eastAsia"/>
        </w:rPr>
        <w:t>东阳组团：2-5万人。</w:t>
      </w:r>
    </w:p>
    <w:p>
      <w:pPr>
        <w:spacing w:before="156"/>
      </w:pPr>
      <w:r>
        <w:rPr>
          <w:rFonts w:hint="eastAsia"/>
        </w:rPr>
        <w:t>北田祖团：1-2万人。</w:t>
      </w:r>
    </w:p>
    <w:p>
      <w:pPr>
        <w:spacing w:before="156"/>
      </w:pPr>
      <w:r>
        <w:rPr>
          <w:rFonts w:hint="eastAsia"/>
        </w:rPr>
        <w:t>长凝组团、什贴组团：各0.5-1万人。</w:t>
      </w:r>
    </w:p>
    <w:p>
      <w:pPr>
        <w:pStyle w:val="4"/>
        <w:tabs>
          <w:tab w:val="left" w:pos="993"/>
          <w:tab w:val="clear" w:pos="1260"/>
        </w:tabs>
        <w:spacing w:before="312"/>
        <w:ind w:left="851" w:hanging="834"/>
      </w:pPr>
      <w:r>
        <w:rPr>
          <w:rFonts w:hint="eastAsia"/>
        </w:rPr>
        <w:t>城镇建设规模控制</w:t>
      </w:r>
    </w:p>
    <w:p>
      <w:pPr>
        <w:spacing w:before="156"/>
        <w:rPr>
          <w:rFonts w:ascii="宋体" w:hAnsi="宋体"/>
        </w:rPr>
      </w:pPr>
      <w:r>
        <w:rPr>
          <w:rFonts w:hint="eastAsia" w:ascii="宋体" w:hAnsi="宋体"/>
        </w:rPr>
        <w:t>规划</w:t>
      </w:r>
      <w:r>
        <w:rPr>
          <w:rFonts w:hint="eastAsia"/>
        </w:rPr>
        <w:t>区</w:t>
      </w:r>
      <w:r>
        <w:rPr>
          <w:rFonts w:hint="eastAsia" w:ascii="宋体" w:hAnsi="宋体"/>
        </w:rPr>
        <w:t>在</w:t>
      </w:r>
      <w:r>
        <w:rPr>
          <w:rFonts w:hint="default" w:ascii="Times New Roman" w:hAnsi="Times New Roman" w:cs="Times New Roman"/>
        </w:rPr>
        <w:t>2020</w:t>
      </w:r>
      <w:r>
        <w:rPr>
          <w:rFonts w:hint="eastAsia" w:ascii="宋体" w:hAnsi="宋体"/>
        </w:rPr>
        <w:t>年末城镇建设用地应控制在</w:t>
      </w:r>
      <w:r>
        <w:rPr>
          <w:rFonts w:hint="default" w:ascii="Times New Roman" w:hAnsi="Times New Roman" w:cs="Times New Roman"/>
        </w:rPr>
        <w:t>103</w:t>
      </w:r>
      <w:r>
        <w:rPr>
          <w:rFonts w:hint="eastAsia" w:ascii="宋体" w:hAnsi="宋体"/>
        </w:rPr>
        <w:t>平方公里。其中中心城区（包括主城区和潇河起步区）</w:t>
      </w:r>
      <w:r>
        <w:rPr>
          <w:rFonts w:ascii="宋体" w:hAnsi="宋体"/>
        </w:rPr>
        <w:t>100</w:t>
      </w:r>
      <w:r>
        <w:rPr>
          <w:rFonts w:hint="eastAsia" w:ascii="宋体" w:hAnsi="宋体"/>
        </w:rPr>
        <w:t>平方公里，东阳组团</w:t>
      </w:r>
      <w:r>
        <w:rPr>
          <w:rFonts w:hint="default" w:ascii="Times New Roman" w:hAnsi="Times New Roman" w:cs="Times New Roman"/>
        </w:rPr>
        <w:t>0.95</w:t>
      </w:r>
      <w:r>
        <w:rPr>
          <w:rFonts w:hint="eastAsia" w:ascii="宋体" w:hAnsi="宋体"/>
        </w:rPr>
        <w:t>平方公里，长凝组团</w:t>
      </w:r>
      <w:r>
        <w:rPr>
          <w:rFonts w:hint="default" w:ascii="Times New Roman" w:hAnsi="Times New Roman" w:cs="Times New Roman"/>
        </w:rPr>
        <w:t>0.45</w:t>
      </w:r>
      <w:r>
        <w:rPr>
          <w:rFonts w:hint="eastAsia" w:ascii="宋体" w:hAnsi="宋体"/>
        </w:rPr>
        <w:t>平方公里，什贴组团为</w:t>
      </w:r>
      <w:r>
        <w:rPr>
          <w:rFonts w:hint="default" w:ascii="Times New Roman" w:hAnsi="Times New Roman" w:cs="Times New Roman"/>
        </w:rPr>
        <w:t>0.75</w:t>
      </w:r>
      <w:r>
        <w:rPr>
          <w:rFonts w:hint="eastAsia" w:ascii="宋体" w:hAnsi="宋体"/>
        </w:rPr>
        <w:t>平方公里，北田组团为</w:t>
      </w:r>
      <w:r>
        <w:rPr>
          <w:rFonts w:hint="default" w:ascii="Times New Roman" w:hAnsi="Times New Roman" w:cs="Times New Roman"/>
        </w:rPr>
        <w:t>0.9</w:t>
      </w:r>
      <w:r>
        <w:rPr>
          <w:rFonts w:hint="eastAsia" w:ascii="宋体" w:hAnsi="宋体"/>
        </w:rPr>
        <w:t>平方公里。</w:t>
      </w:r>
    </w:p>
    <w:p>
      <w:pPr>
        <w:spacing w:before="156"/>
      </w:pPr>
      <w:r>
        <w:rPr>
          <w:rFonts w:hint="default" w:ascii="Times New Roman" w:hAnsi="Times New Roman" w:cs="Times New Roman"/>
        </w:rPr>
        <w:t>2030</w:t>
      </w:r>
      <w:r>
        <w:rPr>
          <w:rFonts w:hint="eastAsia" w:ascii="宋体" w:hAnsi="宋体"/>
        </w:rPr>
        <w:t>年末</w:t>
      </w:r>
      <w:r>
        <w:rPr>
          <w:rFonts w:hint="eastAsia"/>
        </w:rPr>
        <w:t>规划区</w:t>
      </w:r>
      <w:r>
        <w:rPr>
          <w:rFonts w:hint="eastAsia" w:ascii="宋体" w:hAnsi="宋体"/>
        </w:rPr>
        <w:t>城镇建设用地应控制在</w:t>
      </w:r>
      <w:r>
        <w:t>145.6</w:t>
      </w:r>
      <w:r>
        <w:rPr>
          <w:rFonts w:hint="eastAsia" w:ascii="宋体" w:hAnsi="宋体"/>
        </w:rPr>
        <w:t>平方公里，其中</w:t>
      </w:r>
      <w:r>
        <w:rPr>
          <w:rFonts w:hint="eastAsia"/>
        </w:rPr>
        <w:t>中心城区（包括主城区和潇河起步区）</w:t>
      </w:r>
      <w:r>
        <w:t>138.6</w:t>
      </w:r>
      <w:r>
        <w:rPr>
          <w:rFonts w:hint="eastAsia"/>
        </w:rPr>
        <w:t>平方公里，东阳组团3平方公里，长凝组团1平方公里，什贴组团1平方公里，北田镇2平方公里</w:t>
      </w:r>
      <w:r>
        <w:rPr>
          <w:rFonts w:hint="eastAsia" w:ascii="宋体" w:hAnsi="宋体"/>
        </w:rPr>
        <w:t>。</w:t>
      </w:r>
    </w:p>
    <w:p>
      <w:pPr>
        <w:pStyle w:val="3"/>
        <w:spacing w:before="156" w:after="156"/>
      </w:pPr>
      <w:bookmarkStart w:id="203" w:name="_Toc492850109"/>
      <w:r>
        <w:rPr>
          <w:rFonts w:hint="eastAsia"/>
        </w:rPr>
        <w:t>第二节 功能统筹协调规划</w:t>
      </w:r>
      <w:bookmarkEnd w:id="203"/>
    </w:p>
    <w:p>
      <w:pPr>
        <w:pStyle w:val="4"/>
        <w:tabs>
          <w:tab w:val="left" w:pos="993"/>
          <w:tab w:val="clear" w:pos="1260"/>
        </w:tabs>
        <w:spacing w:before="312"/>
        <w:ind w:left="851" w:hanging="834"/>
      </w:pPr>
      <w:r>
        <w:rPr>
          <w:rFonts w:hint="eastAsia"/>
        </w:rPr>
        <w:t>功能分区与发展指引</w:t>
      </w:r>
    </w:p>
    <w:p>
      <w:pPr>
        <w:pStyle w:val="131"/>
        <w:spacing w:before="156"/>
        <w:ind w:left="960"/>
      </w:pPr>
      <w:r>
        <w:rPr>
          <w:rFonts w:hint="eastAsia"/>
        </w:rPr>
        <w:t>（1）西部城镇发展区</w:t>
      </w:r>
    </w:p>
    <w:p>
      <w:pPr>
        <w:spacing w:before="156"/>
      </w:pPr>
      <w:r>
        <w:rPr>
          <w:rFonts w:hint="eastAsia"/>
        </w:rPr>
        <w:t>108国道沿线的太原盆地地带，主要包括晋中主城区及邻近的城镇，是规划区内城镇主要发展的片区。</w:t>
      </w:r>
    </w:p>
    <w:p>
      <w:pPr>
        <w:spacing w:before="156"/>
      </w:pPr>
      <w:r>
        <w:rPr>
          <w:rFonts w:hint="eastAsia"/>
        </w:rPr>
        <w:t>榆次城区、潇河起步区等太原都市区核心空间要积极承接太原都市区的核心生产和服务功能。</w:t>
      </w:r>
    </w:p>
    <w:p>
      <w:pPr>
        <w:spacing w:before="156"/>
      </w:pPr>
      <w:r>
        <w:rPr>
          <w:rFonts w:hint="eastAsia"/>
        </w:rPr>
        <w:t>积极推进城镇化，集聚发展，优先做大做强晋中主城区，引导人口向主城区集聚；合理布局城镇空间，完善城镇基础设施建设。</w:t>
      </w:r>
    </w:p>
    <w:p>
      <w:pPr>
        <w:spacing w:before="156"/>
      </w:pPr>
      <w:r>
        <w:rPr>
          <w:rFonts w:hint="eastAsia"/>
        </w:rPr>
        <w:t>要</w:t>
      </w:r>
      <w:r>
        <w:t>放大区位、</w:t>
      </w:r>
      <w:r>
        <w:rPr>
          <w:rFonts w:hint="eastAsia"/>
        </w:rPr>
        <w:t>农业</w:t>
      </w:r>
      <w:r>
        <w:t>资源、文化优势</w:t>
      </w:r>
      <w:r>
        <w:rPr>
          <w:rFonts w:hint="eastAsia"/>
        </w:rPr>
        <w:t>，积极发展乡村旅游业和都市农业，为都市区提供绿色基础设施，增加农业附加值。</w:t>
      </w:r>
    </w:p>
    <w:p>
      <w:pPr>
        <w:pStyle w:val="131"/>
        <w:spacing w:before="156"/>
        <w:ind w:left="960"/>
      </w:pPr>
      <w:r>
        <w:rPr>
          <w:rFonts w:hint="eastAsia"/>
        </w:rPr>
        <w:t>（2）中部生态农业区</w:t>
      </w:r>
    </w:p>
    <w:p>
      <w:pPr>
        <w:spacing w:before="156"/>
      </w:pPr>
      <w:r>
        <w:rPr>
          <w:rFonts w:hint="eastAsia"/>
        </w:rPr>
        <w:t>108国道沿线城镇密集区以东、太岳山麓以西的平原和浅丘地带。</w:t>
      </w:r>
    </w:p>
    <w:p>
      <w:pPr>
        <w:spacing w:before="156"/>
      </w:pPr>
      <w:r>
        <w:rPr>
          <w:rFonts w:hint="eastAsia"/>
        </w:rPr>
        <w:t>提倡村镇产业联动发展，特别是要扶持物流业以及农产品深加工业等涉农产业的发展，带动整个片区的农民致富。</w:t>
      </w:r>
    </w:p>
    <w:p>
      <w:pPr>
        <w:spacing w:before="156"/>
      </w:pPr>
      <w:r>
        <w:rPr>
          <w:rFonts w:hint="eastAsia"/>
        </w:rPr>
        <w:t>鼓励对农村地区进行居住环境的改善，提高小城镇的服务水平，重点完善小城镇服务农业生产的能力。加强村镇基础设施的建设，特别是交通基础设施建设，以服务农业生产和城市居民的休闲出游。</w:t>
      </w:r>
    </w:p>
    <w:p>
      <w:pPr>
        <w:spacing w:before="156"/>
      </w:pPr>
      <w:r>
        <w:rPr>
          <w:rFonts w:hint="eastAsia"/>
        </w:rPr>
        <w:t>发展绿色、有机的现代高品质农业，建设高附加值、品牌化的现代农业产业园区。将农业与旅游业相结合，发展庄园经济、农家乐、观光采摘农业等，打造居民户外休闲的绿色空间。</w:t>
      </w:r>
    </w:p>
    <w:p>
      <w:pPr>
        <w:pStyle w:val="131"/>
        <w:spacing w:before="156"/>
        <w:ind w:left="960"/>
      </w:pPr>
      <w:r>
        <w:rPr>
          <w:rFonts w:hint="eastAsia"/>
        </w:rPr>
        <w:t>（3）东部生态保育区</w:t>
      </w:r>
    </w:p>
    <w:p>
      <w:pPr>
        <w:spacing w:before="156"/>
      </w:pPr>
      <w:r>
        <w:rPr>
          <w:rFonts w:hint="eastAsia"/>
        </w:rPr>
        <w:t>东部太岳山脉海拔较高的山区，主导功能为保护生物多样性、保持水土与涵养水源。</w:t>
      </w:r>
    </w:p>
    <w:p>
      <w:pPr>
        <w:spacing w:before="156"/>
      </w:pPr>
      <w:r>
        <w:rPr>
          <w:rFonts w:hint="eastAsia"/>
        </w:rPr>
        <w:t>在产业发展方面，采取生态优先的策略，严禁污染性企业的进驻，鼓励适当发展特色旅游业；正确引导山林农特产品的种植和加工；对矿产资源的开发要事先开展生态环境影响评估。</w:t>
      </w:r>
    </w:p>
    <w:p>
      <w:pPr>
        <w:spacing w:before="156"/>
      </w:pPr>
      <w:r>
        <w:rPr>
          <w:rFonts w:hint="eastAsia"/>
        </w:rPr>
        <w:t>在城镇建设方面，鼓励农民向山下搬迁，进入小城镇以提升居住品质；山上的村落应当凸显旅游风貌要求，作为旅游景区的一部分。</w:t>
      </w:r>
    </w:p>
    <w:p>
      <w:pPr>
        <w:spacing w:before="156"/>
      </w:pPr>
      <w:r>
        <w:rPr>
          <w:rFonts w:hint="eastAsia"/>
        </w:rPr>
        <w:t>在农业现代化方面，提倡绿色有机的农业生产，避免产生环境污染，鼓励建设生态绿色农业产业园区，走高品质绿色农产品的路线。</w:t>
      </w:r>
    </w:p>
    <w:p>
      <w:pPr>
        <w:pStyle w:val="4"/>
        <w:tabs>
          <w:tab w:val="left" w:pos="993"/>
          <w:tab w:val="clear" w:pos="1260"/>
        </w:tabs>
        <w:spacing w:before="312"/>
        <w:ind w:left="851" w:hanging="834"/>
      </w:pPr>
      <w:r>
        <w:rPr>
          <w:rFonts w:hint="eastAsia"/>
        </w:rPr>
        <w:t>主要城镇功能统筹</w:t>
      </w:r>
    </w:p>
    <w:p>
      <w:pPr>
        <w:pStyle w:val="131"/>
        <w:spacing w:before="156"/>
        <w:ind w:left="960"/>
      </w:pPr>
      <w:r>
        <w:rPr>
          <w:rFonts w:hint="eastAsia"/>
        </w:rPr>
        <w:t>（1）主城区</w:t>
      </w:r>
    </w:p>
    <w:p>
      <w:pPr>
        <w:spacing w:before="156"/>
      </w:pPr>
      <w:r>
        <w:rPr>
          <w:rFonts w:hint="eastAsia"/>
        </w:rPr>
        <w:t>主城区是与太原同城发展的省域核心；山西省中部的交通枢纽和商贸物流基地；山西省以机械装备、汽车为主的先进制造业基地；山西省重要的高等教育中心和研发培训基地；品质优良、文化底蕴深厚的宜居城市。</w:t>
      </w:r>
    </w:p>
    <w:p>
      <w:pPr>
        <w:spacing w:before="156"/>
      </w:pPr>
      <w:r>
        <w:rPr>
          <w:rFonts w:hint="eastAsia"/>
        </w:rPr>
        <w:t>大力发展现代服务业，加快区域商贸物流中心、教育科研中心、旅游服务中心的建设，完善区域服务职能。充分利用机械装备、食品加工等产业雄厚的基础，做大做强先进装备制造业，提升产品的市场竞争力，并通过上下游的产业链关系，联动太谷等周边地区，打造汽车产业集群，辐射带动周边城镇发展。</w:t>
      </w:r>
    </w:p>
    <w:p>
      <w:pPr>
        <w:pStyle w:val="131"/>
        <w:spacing w:before="156"/>
        <w:ind w:left="960"/>
      </w:pPr>
      <w:r>
        <w:rPr>
          <w:rFonts w:hint="eastAsia"/>
        </w:rPr>
        <w:t>（2）潇河起步区</w:t>
      </w:r>
    </w:p>
    <w:p>
      <w:pPr>
        <w:spacing w:before="156"/>
      </w:pPr>
      <w:r>
        <w:rPr>
          <w:rFonts w:hint="eastAsia"/>
        </w:rPr>
        <w:t>山西转型综改示范区的重要现代产业园区，能源资源型产业转型升级、科技成果转化基地，山西省装备制造、战略性新兴产业、高新技术等高端产业承载区。</w:t>
      </w:r>
    </w:p>
    <w:p>
      <w:pPr>
        <w:spacing w:before="156"/>
      </w:pPr>
      <w:r>
        <w:rPr>
          <w:rFonts w:hint="eastAsia"/>
        </w:rPr>
        <w:t>立足科技创新城核心区能源科技创新优势，加强科技成果转化，先行先试，带动太原都市圈的产业转型升级。</w:t>
      </w:r>
    </w:p>
    <w:p>
      <w:pPr>
        <w:spacing w:before="156"/>
      </w:pPr>
      <w:r>
        <w:rPr>
          <w:rFonts w:hint="eastAsia"/>
        </w:rPr>
        <w:t>加快产业转型升级，建成以新能源汽车配套、循环经济为主的产业组团。</w:t>
      </w:r>
    </w:p>
    <w:p>
      <w:pPr>
        <w:spacing w:before="156"/>
      </w:pPr>
      <w:r>
        <w:rPr>
          <w:rFonts w:hint="eastAsia"/>
        </w:rPr>
        <w:t>依托便捷的交通条件，引入国内外知名物流企业，建成煤炭专业化物流中心，成为煤炭及相关产品的集散、转运中心。</w:t>
      </w:r>
    </w:p>
    <w:p>
      <w:pPr>
        <w:pStyle w:val="131"/>
        <w:spacing w:before="156"/>
        <w:ind w:left="960"/>
      </w:pPr>
      <w:r>
        <w:rPr>
          <w:rFonts w:hint="eastAsia"/>
        </w:rPr>
        <w:t>（3）东阳镇</w:t>
      </w:r>
    </w:p>
    <w:p>
      <w:pPr>
        <w:spacing w:before="156"/>
      </w:pPr>
      <w:r>
        <w:rPr>
          <w:rFonts w:hint="eastAsia"/>
        </w:rPr>
        <w:t>以工业、旅游服务业为支柱的综合型城镇。</w:t>
      </w:r>
    </w:p>
    <w:p>
      <w:pPr>
        <w:pStyle w:val="131"/>
        <w:spacing w:before="156"/>
        <w:ind w:left="960"/>
      </w:pPr>
      <w:r>
        <w:rPr>
          <w:rFonts w:hint="eastAsia"/>
        </w:rPr>
        <w:t>（4）长凝镇</w:t>
      </w:r>
    </w:p>
    <w:p>
      <w:pPr>
        <w:spacing w:before="156"/>
      </w:pPr>
      <w:r>
        <w:rPr>
          <w:rFonts w:hint="eastAsia"/>
        </w:rPr>
        <w:t>以现代农业、畜牧业为主的农业型城镇。</w:t>
      </w:r>
    </w:p>
    <w:p>
      <w:pPr>
        <w:pStyle w:val="131"/>
        <w:spacing w:before="156"/>
        <w:ind w:left="960"/>
      </w:pPr>
      <w:r>
        <w:rPr>
          <w:rFonts w:hint="eastAsia"/>
        </w:rPr>
        <w:t>（5）北田镇</w:t>
      </w:r>
    </w:p>
    <w:p>
      <w:pPr>
        <w:spacing w:before="156"/>
      </w:pPr>
      <w:r>
        <w:rPr>
          <w:rFonts w:hint="eastAsia"/>
        </w:rPr>
        <w:t>以现代农业为主的农业型城镇。</w:t>
      </w:r>
    </w:p>
    <w:p>
      <w:pPr>
        <w:pStyle w:val="131"/>
        <w:spacing w:before="156"/>
        <w:ind w:left="960"/>
      </w:pPr>
      <w:r>
        <w:rPr>
          <w:rFonts w:hint="eastAsia"/>
        </w:rPr>
        <w:t>（6）什贴镇</w:t>
      </w:r>
    </w:p>
    <w:p>
      <w:pPr>
        <w:spacing w:before="156"/>
      </w:pPr>
      <w:r>
        <w:rPr>
          <w:rFonts w:hint="eastAsia"/>
        </w:rPr>
        <w:t>以现代农业和农产品加工为主的农业型城镇。</w:t>
      </w:r>
    </w:p>
    <w:p>
      <w:pPr>
        <w:pStyle w:val="3"/>
        <w:spacing w:before="156" w:after="156"/>
      </w:pPr>
      <w:bookmarkStart w:id="204" w:name="_Toc492850110"/>
      <w:r>
        <w:rPr>
          <w:rFonts w:hint="eastAsia"/>
        </w:rPr>
        <w:t>第三节城镇开发建设控制</w:t>
      </w:r>
      <w:bookmarkEnd w:id="204"/>
    </w:p>
    <w:p>
      <w:pPr>
        <w:pStyle w:val="4"/>
        <w:tabs>
          <w:tab w:val="left" w:pos="993"/>
          <w:tab w:val="clear" w:pos="1260"/>
        </w:tabs>
        <w:spacing w:before="312"/>
        <w:ind w:left="851" w:hanging="834"/>
      </w:pPr>
      <w:r>
        <w:rPr>
          <w:rFonts w:hint="eastAsia"/>
        </w:rPr>
        <w:t>生态环境建设</w:t>
      </w:r>
    </w:p>
    <w:p>
      <w:pPr>
        <w:spacing w:before="156"/>
      </w:pPr>
      <w:r>
        <w:rPr>
          <w:rFonts w:hint="eastAsia"/>
        </w:rPr>
        <w:t>落实太原都市区“一环一网、二纵四横”</w:t>
      </w:r>
      <w:r>
        <w:t>的总体生态安全格局</w:t>
      </w:r>
      <w:r>
        <w:rPr>
          <w:rFonts w:hint="eastAsia"/>
        </w:rPr>
        <w:t>。</w:t>
      </w:r>
    </w:p>
    <w:p>
      <w:pPr>
        <w:spacing w:before="156"/>
      </w:pPr>
      <w:r>
        <w:rPr>
          <w:rFonts w:hint="eastAsia"/>
        </w:rPr>
        <w:t>建设东部与东北部生态环境控制区，区内八缚岭自然保护区的核心区与缓冲区、乌金山森林公园非允许建设区应作为禁止建设区进行严格控制；生态环境控制区内的其他地区也应该严格限制除生态环境保护之外的其他开发建设。</w:t>
      </w:r>
    </w:p>
    <w:p>
      <w:pPr>
        <w:spacing w:before="156"/>
      </w:pPr>
      <w:r>
        <w:rPr>
          <w:rFonts w:hint="eastAsia"/>
        </w:rPr>
        <w:t>在主城区南环路以南以及太旧高速公路两侧依托基本农田保护及公益林建设，建设与太原生态带对接的两条大型生态廊道，生态廊道内以绿化以及农业种植为主。</w:t>
      </w:r>
    </w:p>
    <w:p>
      <w:pPr>
        <w:pStyle w:val="4"/>
        <w:tabs>
          <w:tab w:val="left" w:pos="993"/>
          <w:tab w:val="clear" w:pos="1260"/>
        </w:tabs>
        <w:spacing w:before="312"/>
        <w:ind w:left="851" w:hanging="834"/>
      </w:pPr>
      <w:r>
        <w:rPr>
          <w:rFonts w:hint="eastAsia"/>
        </w:rPr>
        <w:t>城镇开发边界（增长边界）控制</w:t>
      </w:r>
    </w:p>
    <w:p>
      <w:pPr>
        <w:spacing w:before="156"/>
      </w:pPr>
      <w:r>
        <w:rPr>
          <w:rFonts w:hint="eastAsia"/>
        </w:rPr>
        <w:t>结合各城镇组团的发展现状、规模控制要求以及重点发展方向的基础上，考虑生态环境保护、地形条件以及基本农田保护的基础上，并为城市发展建设预留一定的弹性，综合划定中心城区（包括主城区和潇河起步区）、东阳、长凝、北田以及什贴等六个建设组团的开发边界。</w:t>
      </w:r>
    </w:p>
    <w:p>
      <w:pPr>
        <w:spacing w:before="156"/>
        <w:rPr>
          <w:bCs/>
        </w:rPr>
      </w:pPr>
      <w:r>
        <w:rPr>
          <w:rFonts w:hint="eastAsia"/>
          <w:bCs/>
        </w:rPr>
        <w:t>城镇开发边界内的规划建设用地是规划行政许可全覆盖的地域；规划实施过程中，在确保规划期内建设用地总规模不变的前提下，其空间布局形态可依程序进行调整，但不得突破城镇开发边界，同时相应核减城镇规划建设区用地规模。</w:t>
      </w:r>
    </w:p>
    <w:p>
      <w:pPr>
        <w:pStyle w:val="3"/>
        <w:spacing w:before="156" w:after="156"/>
      </w:pPr>
      <w:bookmarkStart w:id="205" w:name="_Toc492850111"/>
      <w:r>
        <w:rPr>
          <w:rFonts w:hint="eastAsia"/>
        </w:rPr>
        <w:t>第四节农村居民点建设指引</w:t>
      </w:r>
      <w:bookmarkEnd w:id="205"/>
    </w:p>
    <w:p>
      <w:pPr>
        <w:pStyle w:val="4"/>
        <w:tabs>
          <w:tab w:val="left" w:pos="993"/>
          <w:tab w:val="clear" w:pos="1260"/>
        </w:tabs>
        <w:spacing w:before="312"/>
        <w:ind w:left="851" w:hanging="834"/>
      </w:pPr>
      <w:r>
        <w:rPr>
          <w:rFonts w:hint="eastAsia"/>
        </w:rPr>
        <w:t>农村居民点统筹发展原则</w:t>
      </w:r>
    </w:p>
    <w:p>
      <w:pPr>
        <w:pStyle w:val="131"/>
        <w:spacing w:before="156"/>
        <w:ind w:left="960"/>
      </w:pPr>
      <w:r>
        <w:rPr>
          <w:rFonts w:hint="eastAsia"/>
        </w:rPr>
        <w:t>（1）安全性原则</w:t>
      </w:r>
    </w:p>
    <w:p>
      <w:pPr>
        <w:spacing w:before="156"/>
      </w:pPr>
      <w:r>
        <w:rPr>
          <w:rFonts w:hint="eastAsia"/>
        </w:rPr>
        <w:t>居民点要避开洪水冲刷面、滑坡、泥石流等危险地带。</w:t>
      </w:r>
    </w:p>
    <w:p>
      <w:pPr>
        <w:pStyle w:val="131"/>
        <w:spacing w:before="156"/>
        <w:ind w:left="960"/>
      </w:pPr>
      <w:r>
        <w:rPr>
          <w:rFonts w:hint="eastAsia"/>
        </w:rPr>
        <w:t>（2）耕地和自然文化资源保护原则</w:t>
      </w:r>
    </w:p>
    <w:p>
      <w:pPr>
        <w:spacing w:before="156"/>
      </w:pPr>
      <w:r>
        <w:rPr>
          <w:rFonts w:hint="eastAsia"/>
        </w:rPr>
        <w:t>居民点调整要有利于耕地保护、自然资源与地形地貌保护、当地的风土民情与历史文化遗迹保护。</w:t>
      </w:r>
    </w:p>
    <w:p>
      <w:pPr>
        <w:pStyle w:val="131"/>
        <w:spacing w:before="156"/>
        <w:ind w:left="960"/>
      </w:pPr>
      <w:r>
        <w:rPr>
          <w:rFonts w:hint="eastAsia"/>
        </w:rPr>
        <w:t>（3）促进产业发展原则</w:t>
      </w:r>
    </w:p>
    <w:p>
      <w:pPr>
        <w:spacing w:before="156"/>
      </w:pPr>
      <w:r>
        <w:rPr>
          <w:rFonts w:hint="eastAsia"/>
        </w:rPr>
        <w:t>居民点调整满足产业的规划要求，促进土地向规模化经营，同时考虑农民的生产半径与出行需要。</w:t>
      </w:r>
    </w:p>
    <w:p>
      <w:pPr>
        <w:pStyle w:val="131"/>
        <w:spacing w:before="156"/>
        <w:ind w:left="960"/>
      </w:pPr>
      <w:r>
        <w:rPr>
          <w:rFonts w:hint="eastAsia"/>
        </w:rPr>
        <w:t>（4）可持续发展原则</w:t>
      </w:r>
    </w:p>
    <w:p>
      <w:pPr>
        <w:spacing w:before="156"/>
      </w:pPr>
      <w:r>
        <w:rPr>
          <w:rFonts w:hint="eastAsia"/>
        </w:rPr>
        <w:t>居民点调整要考虑城镇的辐射与带动作用，要有利于公共服务配套的建设，并能尽量利用现有的公共配套设施。</w:t>
      </w:r>
    </w:p>
    <w:p>
      <w:pPr>
        <w:pStyle w:val="4"/>
        <w:tabs>
          <w:tab w:val="left" w:pos="993"/>
          <w:tab w:val="clear" w:pos="1260"/>
        </w:tabs>
        <w:spacing w:before="312"/>
        <w:ind w:left="851" w:hanging="834"/>
      </w:pPr>
      <w:bookmarkStart w:id="206" w:name="_Toc367913845"/>
      <w:r>
        <w:rPr>
          <w:rFonts w:hint="eastAsia"/>
        </w:rPr>
        <w:t>村庄分类建设策略</w:t>
      </w:r>
      <w:bookmarkEnd w:id="206"/>
    </w:p>
    <w:p>
      <w:pPr>
        <w:pStyle w:val="131"/>
        <w:spacing w:before="156"/>
        <w:ind w:left="960"/>
      </w:pPr>
      <w:r>
        <w:rPr>
          <w:rFonts w:hint="eastAsia"/>
        </w:rPr>
        <w:t>（1）宜居示范村（新型农村社区）和中心村</w:t>
      </w:r>
    </w:p>
    <w:p>
      <w:pPr>
        <w:spacing w:before="156"/>
      </w:pPr>
      <w:r>
        <w:rPr>
          <w:rFonts w:hint="eastAsia"/>
        </w:rPr>
        <w:t>保护原有村庄的社会网络和空间格局；合理提高基础设施和公共服务设施配套水平，加强村庄绿化和环境建设，改善村庄的生产、生活居住环境；根据未来发展以及吸纳安置周边撤并村庄人口的需要，可依据规划适当扩建，紧凑布局。</w:t>
      </w:r>
    </w:p>
    <w:p>
      <w:pPr>
        <w:pStyle w:val="131"/>
        <w:spacing w:before="156"/>
        <w:ind w:left="960"/>
      </w:pPr>
      <w:r>
        <w:rPr>
          <w:rFonts w:hint="eastAsia"/>
        </w:rPr>
        <w:t>（3）限制发展村庄</w:t>
      </w:r>
    </w:p>
    <w:p>
      <w:pPr>
        <w:spacing w:before="156"/>
      </w:pPr>
      <w:r>
        <w:rPr>
          <w:rFonts w:hint="eastAsia"/>
        </w:rPr>
        <w:t>位于自然保护区、风景名胜区、山地生态保护区范围内的农村居民点，要对这类村庄发展实施限制并逐步改造，使其规模、建设水平和主要功能符合生态环境保护的要求。</w:t>
      </w:r>
    </w:p>
    <w:p>
      <w:pPr>
        <w:pStyle w:val="131"/>
        <w:spacing w:before="156"/>
        <w:ind w:left="960"/>
      </w:pPr>
      <w:r>
        <w:rPr>
          <w:rFonts w:hint="eastAsia"/>
        </w:rPr>
        <w:t>（3）逐步城镇化的村庄</w:t>
      </w:r>
    </w:p>
    <w:p>
      <w:pPr>
        <w:spacing w:before="156"/>
      </w:pPr>
      <w:r>
        <w:rPr>
          <w:rFonts w:hint="eastAsia"/>
        </w:rPr>
        <w:t>位于主城区、潇河起步区等城市建设用地范围内的农村居民点，实施有步骤搬迁，积极引导这部分农村人口向城镇转移。政府应建立专项安置基金和相应的政策扶持和保障机制，为这些农村居民在城镇的安置和生活提供支持和帮助。</w:t>
      </w:r>
    </w:p>
    <w:p>
      <w:pPr>
        <w:pStyle w:val="131"/>
        <w:spacing w:before="156"/>
        <w:ind w:left="960"/>
      </w:pPr>
      <w:r>
        <w:rPr>
          <w:rFonts w:hint="eastAsia"/>
        </w:rPr>
        <w:t>（4）现状保留村</w:t>
      </w:r>
    </w:p>
    <w:p>
      <w:pPr>
        <w:spacing w:before="156"/>
      </w:pPr>
      <w:r>
        <w:rPr>
          <w:rFonts w:hint="eastAsia"/>
        </w:rPr>
        <w:t>对于除上述村庄外的其他村庄，以整理完善为主，重点放在适当改善基本生活设施方面。</w:t>
      </w:r>
    </w:p>
    <w:p>
      <w:pPr>
        <w:pStyle w:val="3"/>
        <w:spacing w:before="156" w:after="156"/>
      </w:pPr>
      <w:bookmarkStart w:id="207" w:name="_Toc492850112"/>
      <w:r>
        <w:rPr>
          <w:rFonts w:hint="eastAsia"/>
        </w:rPr>
        <w:t>第五节公共服务设施统筹协调规划</w:t>
      </w:r>
      <w:bookmarkEnd w:id="207"/>
    </w:p>
    <w:p>
      <w:pPr>
        <w:pStyle w:val="4"/>
        <w:tabs>
          <w:tab w:val="left" w:pos="993"/>
          <w:tab w:val="clear" w:pos="1260"/>
        </w:tabs>
        <w:spacing w:before="312"/>
        <w:ind w:left="851" w:hanging="834"/>
      </w:pPr>
      <w:r>
        <w:rPr>
          <w:rFonts w:hint="eastAsia"/>
        </w:rPr>
        <w:t>总体原则</w:t>
      </w:r>
    </w:p>
    <w:p>
      <w:pPr>
        <w:pStyle w:val="131"/>
        <w:spacing w:before="156"/>
        <w:ind w:left="960"/>
        <w:rPr>
          <w:bCs/>
        </w:rPr>
      </w:pPr>
      <w:r>
        <w:rPr>
          <w:rFonts w:hint="eastAsia"/>
          <w:bCs/>
        </w:rPr>
        <w:t>（1）主城区</w:t>
      </w:r>
    </w:p>
    <w:p>
      <w:pPr>
        <w:spacing w:before="156"/>
      </w:pPr>
      <w:r>
        <w:rPr>
          <w:rFonts w:hint="eastAsia"/>
        </w:rPr>
        <w:t>在满足基本社会服务需求的同时也应积极建设高端社会服务设施，服务整个市域，并在高等教育、商贸物流等方面为整个太原都市区服务。</w:t>
      </w:r>
    </w:p>
    <w:p>
      <w:pPr>
        <w:pStyle w:val="131"/>
        <w:spacing w:before="156"/>
        <w:ind w:left="960"/>
        <w:rPr>
          <w:bCs/>
        </w:rPr>
      </w:pPr>
      <w:r>
        <w:rPr>
          <w:rFonts w:hint="eastAsia"/>
          <w:bCs/>
        </w:rPr>
        <w:t>（2）一般乡镇驻地</w:t>
      </w:r>
    </w:p>
    <w:p>
      <w:pPr>
        <w:spacing w:before="156"/>
      </w:pPr>
      <w:r>
        <w:rPr>
          <w:rFonts w:hint="eastAsia"/>
        </w:rPr>
        <w:t>建设乡镇级别农村公共服务为重点，实现城镇服务向乡村的延伸。</w:t>
      </w:r>
    </w:p>
    <w:p>
      <w:pPr>
        <w:pStyle w:val="131"/>
        <w:spacing w:before="156"/>
        <w:ind w:left="960"/>
        <w:rPr>
          <w:bCs/>
        </w:rPr>
      </w:pPr>
      <w:r>
        <w:rPr>
          <w:rFonts w:hint="eastAsia"/>
          <w:bCs/>
        </w:rPr>
        <w:t>（3）中心村</w:t>
      </w:r>
    </w:p>
    <w:p>
      <w:pPr>
        <w:spacing w:before="156"/>
      </w:pPr>
      <w:r>
        <w:rPr>
          <w:rFonts w:hint="eastAsia"/>
        </w:rPr>
        <w:t>重点提升对周边村庄的基本公共服务辐射功能，鼓励创新机制体制推动多村联合建设。</w:t>
      </w:r>
    </w:p>
    <w:p>
      <w:pPr>
        <w:pStyle w:val="4"/>
        <w:tabs>
          <w:tab w:val="left" w:pos="993"/>
          <w:tab w:val="clear" w:pos="1260"/>
        </w:tabs>
        <w:spacing w:before="312"/>
        <w:ind w:left="851" w:hanging="834"/>
      </w:pPr>
      <w:r>
        <w:rPr>
          <w:rFonts w:hint="eastAsia"/>
        </w:rPr>
        <w:t>教育设施</w:t>
      </w:r>
    </w:p>
    <w:p>
      <w:pPr>
        <w:spacing w:before="156"/>
      </w:pPr>
      <w:r>
        <w:rPr>
          <w:rFonts w:hint="eastAsia"/>
        </w:rPr>
        <w:t>主城区在发展好基础教育的同时着力推动</w:t>
      </w:r>
      <w:r>
        <w:t>太原师范学院</w:t>
      </w:r>
      <w:r>
        <w:rPr>
          <w:rFonts w:hint="eastAsia"/>
        </w:rPr>
        <w:t>、</w:t>
      </w:r>
      <w:r>
        <w:t>太原理工大学</w:t>
      </w:r>
      <w:r>
        <w:rPr>
          <w:rFonts w:hint="eastAsia"/>
        </w:rPr>
        <w:t>、</w:t>
      </w:r>
      <w:r>
        <w:t>山西职工医学院</w:t>
      </w:r>
      <w:r>
        <w:rPr>
          <w:rFonts w:hint="eastAsia"/>
        </w:rPr>
        <w:t>、</w:t>
      </w:r>
      <w:r>
        <w:t>山西中医学院</w:t>
      </w:r>
      <w:r>
        <w:rPr>
          <w:rFonts w:hint="eastAsia"/>
        </w:rPr>
        <w:t>、</w:t>
      </w:r>
      <w:r>
        <w:t>山西煤炭学院</w:t>
      </w:r>
      <w:r>
        <w:rPr>
          <w:rFonts w:hint="eastAsia"/>
        </w:rPr>
        <w:t>、</w:t>
      </w:r>
      <w:r>
        <w:t>山西建筑职业技术学院</w:t>
      </w:r>
      <w:r>
        <w:rPr>
          <w:rFonts w:hint="eastAsia"/>
        </w:rPr>
        <w:t>等高校和中等职业院校的发展壮大，继续扩大高等教育规模。</w:t>
      </w:r>
    </w:p>
    <w:p>
      <w:pPr>
        <w:spacing w:before="156"/>
        <w:rPr>
          <w:rFonts w:ascii="Calibri" w:hAnsi="Calibri"/>
          <w:szCs w:val="22"/>
        </w:rPr>
      </w:pPr>
      <w:r>
        <w:rPr>
          <w:rFonts w:hint="eastAsia" w:ascii="Calibri" w:hAnsi="Calibri"/>
          <w:szCs w:val="22"/>
        </w:rPr>
        <w:t>积极发展学前教育，加强规划区幼儿园的安全办园标准，规划区乡镇中心幼儿园达到示范性幼儿园标准。</w:t>
      </w:r>
    </w:p>
    <w:p>
      <w:pPr>
        <w:spacing w:before="156"/>
        <w:rPr>
          <w:rFonts w:ascii="Calibri" w:hAnsi="Calibri"/>
          <w:szCs w:val="22"/>
        </w:rPr>
      </w:pPr>
      <w:r>
        <w:rPr>
          <w:rFonts w:hint="eastAsia" w:ascii="Calibri" w:hAnsi="Calibri"/>
          <w:szCs w:val="22"/>
        </w:rPr>
        <w:t>抓好中小学基础教育，稳步提高“两基”工作整体水平和质量。农村全面实现“</w:t>
      </w:r>
      <w:r>
        <w:rPr>
          <w:rFonts w:ascii="Calibri" w:hAnsi="Calibri"/>
          <w:szCs w:val="22"/>
        </w:rPr>
        <w:t>一乡一校</w:t>
      </w:r>
      <w:r>
        <w:rPr>
          <w:rFonts w:hint="eastAsia" w:ascii="Calibri" w:hAnsi="Calibri"/>
          <w:szCs w:val="22"/>
        </w:rPr>
        <w:t>”</w:t>
      </w:r>
      <w:r>
        <w:rPr>
          <w:rFonts w:ascii="Calibri" w:hAnsi="Calibri"/>
          <w:szCs w:val="22"/>
        </w:rPr>
        <w:t>或</w:t>
      </w:r>
      <w:r>
        <w:rPr>
          <w:rFonts w:hint="eastAsia" w:ascii="Calibri" w:hAnsi="Calibri"/>
          <w:szCs w:val="22"/>
        </w:rPr>
        <w:t>“</w:t>
      </w:r>
      <w:r>
        <w:rPr>
          <w:rFonts w:ascii="Calibri" w:hAnsi="Calibri"/>
          <w:szCs w:val="22"/>
        </w:rPr>
        <w:t>一乡两校</w:t>
      </w:r>
      <w:r>
        <w:rPr>
          <w:rFonts w:hint="eastAsia" w:ascii="Calibri" w:hAnsi="Calibri"/>
          <w:szCs w:val="22"/>
        </w:rPr>
        <w:t>”</w:t>
      </w:r>
      <w:r>
        <w:rPr>
          <w:rFonts w:ascii="Calibri" w:hAnsi="Calibri"/>
          <w:szCs w:val="22"/>
        </w:rPr>
        <w:t>的办学目标。</w:t>
      </w:r>
    </w:p>
    <w:p>
      <w:pPr>
        <w:spacing w:before="156"/>
        <w:rPr>
          <w:rFonts w:ascii="Calibri" w:hAnsi="Calibri"/>
          <w:szCs w:val="22"/>
        </w:rPr>
      </w:pPr>
      <w:r>
        <w:rPr>
          <w:rFonts w:hint="eastAsia" w:ascii="Calibri" w:hAnsi="Calibri"/>
          <w:szCs w:val="22"/>
        </w:rPr>
        <w:t>普及高中教育，提高初中毕业生接受高中阶段教育的比例。提高普通高中办学质量，加强普通高中办学标准化和管理规范化建设。</w:t>
      </w:r>
    </w:p>
    <w:p>
      <w:pPr>
        <w:pStyle w:val="4"/>
        <w:tabs>
          <w:tab w:val="left" w:pos="993"/>
          <w:tab w:val="clear" w:pos="1260"/>
        </w:tabs>
        <w:spacing w:before="312"/>
        <w:ind w:left="851" w:hanging="834"/>
      </w:pPr>
      <w:r>
        <w:rPr>
          <w:rFonts w:hint="eastAsia"/>
        </w:rPr>
        <w:t>文化娱乐设施</w:t>
      </w:r>
    </w:p>
    <w:p>
      <w:pPr>
        <w:spacing w:before="156"/>
      </w:pPr>
      <w:r>
        <w:rPr>
          <w:rFonts w:hint="eastAsia"/>
        </w:rPr>
        <w:t>主城区应注重博物馆、展览馆、美术馆、文化中心、广播电视中心等保护和展示地方文化的公共设施的建设，为市域服务。</w:t>
      </w:r>
    </w:p>
    <w:p>
      <w:pPr>
        <w:spacing w:before="156"/>
      </w:pPr>
      <w:r>
        <w:t>实施</w:t>
      </w:r>
      <w:r>
        <w:rPr>
          <w:rFonts w:hint="eastAsia"/>
        </w:rPr>
        <w:t>“</w:t>
      </w:r>
      <w:r>
        <w:t>一乡镇一优品</w:t>
      </w:r>
      <w:r>
        <w:rPr>
          <w:rFonts w:hint="eastAsia"/>
        </w:rPr>
        <w:t>”</w:t>
      </w:r>
      <w:r>
        <w:t>工程，积极抓好农村文化大院建设</w:t>
      </w:r>
      <w:r>
        <w:rPr>
          <w:rFonts w:hint="eastAsia"/>
        </w:rPr>
        <w:t>。</w:t>
      </w:r>
    </w:p>
    <w:p>
      <w:pPr>
        <w:pStyle w:val="4"/>
        <w:tabs>
          <w:tab w:val="left" w:pos="993"/>
          <w:tab w:val="clear" w:pos="1260"/>
        </w:tabs>
        <w:spacing w:before="312"/>
        <w:ind w:left="851" w:hanging="834"/>
      </w:pPr>
      <w:r>
        <w:rPr>
          <w:rFonts w:hint="eastAsia"/>
        </w:rPr>
        <w:t>体育设施</w:t>
      </w:r>
    </w:p>
    <w:p>
      <w:pPr>
        <w:spacing w:before="156"/>
      </w:pPr>
      <w:r>
        <w:rPr>
          <w:rFonts w:hint="eastAsia"/>
        </w:rPr>
        <w:t>主城区改造提升已有体育设施，新建体育中心，具备承办国家级运动会及国际单项赛事的能力。</w:t>
      </w:r>
    </w:p>
    <w:p>
      <w:pPr>
        <w:spacing w:before="156"/>
      </w:pPr>
      <w:r>
        <w:rPr>
          <w:rFonts w:hint="eastAsia"/>
        </w:rPr>
        <w:t>在乡镇建设运动及健身场地，主要满足居民日常体育锻炼需要；</w:t>
      </w:r>
      <w:r>
        <w:t>以一村一</w:t>
      </w:r>
      <w:r>
        <w:rPr>
          <w:rFonts w:hint="eastAsia"/>
        </w:rPr>
        <w:t>“</w:t>
      </w:r>
      <w:r>
        <w:t>场地</w:t>
      </w:r>
      <w:r>
        <w:rPr>
          <w:rFonts w:hint="eastAsia"/>
        </w:rPr>
        <w:t>”</w:t>
      </w:r>
      <w:r>
        <w:t>为目标，继续加大全民健身设施的</w:t>
      </w:r>
      <w:r>
        <w:rPr>
          <w:rFonts w:hint="eastAsia"/>
        </w:rPr>
        <w:t>建设</w:t>
      </w:r>
      <w:r>
        <w:t>力度，加快实施</w:t>
      </w:r>
      <w:r>
        <w:rPr>
          <w:rFonts w:hint="eastAsia"/>
        </w:rPr>
        <w:t>“</w:t>
      </w:r>
      <w:r>
        <w:t>农民体育健身工程</w:t>
      </w:r>
      <w:r>
        <w:rPr>
          <w:rFonts w:hint="eastAsia"/>
        </w:rPr>
        <w:t>”。</w:t>
      </w:r>
    </w:p>
    <w:p>
      <w:pPr>
        <w:pStyle w:val="4"/>
        <w:tabs>
          <w:tab w:val="left" w:pos="993"/>
          <w:tab w:val="clear" w:pos="1260"/>
        </w:tabs>
        <w:spacing w:before="312"/>
        <w:ind w:left="851" w:hanging="834"/>
      </w:pPr>
      <w:r>
        <w:rPr>
          <w:rFonts w:hint="eastAsia"/>
        </w:rPr>
        <w:t>社会福利设施</w:t>
      </w:r>
    </w:p>
    <w:p>
      <w:pPr>
        <w:spacing w:before="156"/>
      </w:pPr>
      <w:r>
        <w:rPr>
          <w:rFonts w:hint="eastAsia"/>
        </w:rPr>
        <w:t>主城区加快完善老年人福利设施、孤残儿童福利设施、流浪乞讨人员救助设施、残疾人康复、教育、培训设施、精神病人福利设施。大力支持社会力量兴办多种模式的养老院（老年公寓）、托老所等养老服务机构。</w:t>
      </w:r>
    </w:p>
    <w:p>
      <w:pPr>
        <w:spacing w:before="156"/>
      </w:pPr>
      <w:r>
        <w:rPr>
          <w:rFonts w:hint="eastAsia"/>
        </w:rPr>
        <w:t>在建制镇建立镇一级社会福利中心，为镇域及周边乡镇提供基本社会服务。在行政村推广农村互助老人幸福院。</w:t>
      </w:r>
    </w:p>
    <w:p>
      <w:pPr>
        <w:pStyle w:val="3"/>
        <w:spacing w:before="156" w:after="156"/>
      </w:pPr>
      <w:bookmarkStart w:id="208" w:name="_Toc492850113"/>
      <w:r>
        <w:rPr>
          <w:rFonts w:hint="eastAsia"/>
        </w:rPr>
        <w:t>第六节城乡设施建设统筹</w:t>
      </w:r>
      <w:bookmarkEnd w:id="208"/>
    </w:p>
    <w:p>
      <w:pPr>
        <w:pStyle w:val="4"/>
        <w:tabs>
          <w:tab w:val="left" w:pos="993"/>
          <w:tab w:val="clear" w:pos="1260"/>
        </w:tabs>
        <w:spacing w:before="312"/>
        <w:ind w:left="851" w:hanging="834"/>
      </w:pPr>
      <w:r>
        <w:rPr>
          <w:rFonts w:hint="eastAsia"/>
        </w:rPr>
        <w:t>城乡交通建设统筹</w:t>
      </w:r>
    </w:p>
    <w:p>
      <w:pPr>
        <w:pStyle w:val="131"/>
        <w:spacing w:before="156"/>
        <w:ind w:left="960"/>
        <w:rPr>
          <w:b/>
        </w:rPr>
      </w:pPr>
      <w:r>
        <w:rPr>
          <w:rFonts w:hint="eastAsia"/>
          <w:bCs/>
        </w:rPr>
        <w:t>（1）完善对外交通设施布局</w:t>
      </w:r>
    </w:p>
    <w:p>
      <w:pPr>
        <w:spacing w:before="156"/>
      </w:pPr>
      <w:r>
        <w:rPr>
          <w:rFonts w:hint="eastAsia"/>
        </w:rPr>
        <w:t>构建规划区内部快速路与榆祁高速、南环高速及G108、G339、S318等对外道路的顺畅衔接，强化规划区面向东南向区域和市域的可达性。西北侧与太原道路系统紧密衔接，形成太晋一体的道路交通网络。</w:t>
      </w:r>
    </w:p>
    <w:p>
      <w:pPr>
        <w:spacing w:before="156"/>
      </w:pPr>
      <w:r>
        <w:rPr>
          <w:rFonts w:hint="eastAsia"/>
        </w:rPr>
        <w:t>规划建设“一客两货一编组”的铁路枢纽体系。</w:t>
      </w:r>
    </w:p>
    <w:p>
      <w:pPr>
        <w:spacing w:before="156"/>
      </w:pPr>
      <w:r>
        <w:rPr>
          <w:rFonts w:hint="eastAsia"/>
        </w:rPr>
        <w:t>在中心城区建设城北客运站、晋中站客运站、城南客运站、城东客运站等4个公路客运中心站。</w:t>
      </w:r>
    </w:p>
    <w:p>
      <w:pPr>
        <w:pStyle w:val="131"/>
        <w:spacing w:before="156"/>
        <w:ind w:left="960"/>
        <w:rPr>
          <w:bCs/>
        </w:rPr>
      </w:pPr>
      <w:r>
        <w:rPr>
          <w:rFonts w:hint="eastAsia"/>
          <w:bCs/>
        </w:rPr>
        <w:t>（2）实现规划区内部交通快速联系</w:t>
      </w:r>
    </w:p>
    <w:p>
      <w:pPr>
        <w:spacing w:before="156"/>
      </w:pPr>
      <w:r>
        <w:rPr>
          <w:rFonts w:hint="eastAsia"/>
        </w:rPr>
        <w:t>规划区内部南北向主要通过环城西路、汇通路等快速路及榆祁高速、G108等对外道路实现便捷联系。</w:t>
      </w:r>
    </w:p>
    <w:p>
      <w:pPr>
        <w:spacing w:before="156"/>
      </w:pPr>
      <w:r>
        <w:rPr>
          <w:rFonts w:hint="eastAsia"/>
        </w:rPr>
        <w:t>东西向则主要通过龙城大道、太旧快速路-太旧高速、S216、G339、S318等高等级道路实现快速衔接。</w:t>
      </w:r>
    </w:p>
    <w:p>
      <w:pPr>
        <w:pStyle w:val="131"/>
        <w:spacing w:before="156"/>
        <w:ind w:left="960"/>
        <w:rPr>
          <w:bCs/>
        </w:rPr>
      </w:pPr>
      <w:r>
        <w:rPr>
          <w:rFonts w:hint="eastAsia"/>
          <w:bCs/>
        </w:rPr>
        <w:t>（3）强化规划区内综合交通枢纽整合</w:t>
      </w:r>
    </w:p>
    <w:p>
      <w:pPr>
        <w:spacing w:before="156"/>
      </w:pPr>
      <w:r>
        <w:rPr>
          <w:rFonts w:hint="eastAsia"/>
        </w:rPr>
        <w:t>规划中心城区布局综合客运枢纽5个，分别是迎宾枢纽、晋中站枢纽、城南客运站枢纽、城北客运站枢纽、城东客运站枢纽。</w:t>
      </w:r>
    </w:p>
    <w:p>
      <w:pPr>
        <w:spacing w:before="156"/>
      </w:pPr>
      <w:r>
        <w:rPr>
          <w:rFonts w:hint="eastAsia"/>
        </w:rPr>
        <w:t>在中心城区规划建设</w:t>
      </w:r>
      <w:r>
        <w:t>北六堡区域性综合物流园区</w:t>
      </w:r>
      <w:r>
        <w:rPr>
          <w:rFonts w:hint="eastAsia"/>
        </w:rPr>
        <w:t>、</w:t>
      </w:r>
      <w:r>
        <w:t>修文煤焦专业化物流中心</w:t>
      </w:r>
      <w:r>
        <w:rPr>
          <w:rFonts w:hint="eastAsia"/>
        </w:rPr>
        <w:t>及</w:t>
      </w:r>
      <w:r>
        <w:t>城东地区性物流中心</w:t>
      </w:r>
      <w:r>
        <w:rPr>
          <w:rFonts w:hint="eastAsia"/>
        </w:rPr>
        <w:t>。</w:t>
      </w:r>
    </w:p>
    <w:p>
      <w:pPr>
        <w:pStyle w:val="131"/>
        <w:spacing w:before="156"/>
        <w:ind w:left="960"/>
        <w:rPr>
          <w:bCs/>
        </w:rPr>
      </w:pPr>
      <w:r>
        <w:rPr>
          <w:rFonts w:hint="eastAsia"/>
          <w:bCs/>
        </w:rPr>
        <w:t>（4）有序推进城乡交通体系一体化发展</w:t>
      </w:r>
    </w:p>
    <w:p>
      <w:pPr>
        <w:spacing w:before="156"/>
      </w:pPr>
      <w:r>
        <w:rPr>
          <w:rFonts w:hint="eastAsia"/>
        </w:rPr>
        <w:t>道路交通一体化。加强干线公路网络的服务保障能力。积极推进较高等级公路对乡镇节点的通达，加快等外公路的改造提级，加速实施农村公路网络化建设，适度提高通村公路的技术等级。</w:t>
      </w:r>
    </w:p>
    <w:p>
      <w:pPr>
        <w:spacing w:before="156"/>
      </w:pPr>
      <w:r>
        <w:rPr>
          <w:rFonts w:hint="eastAsia"/>
        </w:rPr>
        <w:t>公交服务一体化。对乡镇的公路客运班线进行公交化改造，适时发展通村公交，解决偏远农村及特定群体出行难的问题，探索开行通勤班车、赶集班车等多种灵活的村镇公交服务形式。理顺城乡客运经营模式，合理设置服务标准，实施统一管理，公司化经营。逐步推进城乡公交与城市公交一体化运营，推行一票制、一卡通的乘车模式。鼓励部门、企业、社会多元化投资，建设城乡公交基础设施，发展城乡公交事业。</w:t>
      </w:r>
    </w:p>
    <w:p>
      <w:pPr>
        <w:pStyle w:val="4"/>
        <w:tabs>
          <w:tab w:val="left" w:pos="993"/>
          <w:tab w:val="clear" w:pos="1260"/>
        </w:tabs>
        <w:spacing w:before="312"/>
        <w:ind w:left="851" w:hanging="834"/>
      </w:pPr>
      <w:r>
        <w:rPr>
          <w:rFonts w:hint="eastAsia"/>
        </w:rPr>
        <w:t>市政基础设施建设统筹</w:t>
      </w:r>
    </w:p>
    <w:p>
      <w:pPr>
        <w:pStyle w:val="131"/>
        <w:spacing w:before="156"/>
        <w:ind w:left="960"/>
        <w:rPr>
          <w:bCs/>
        </w:rPr>
      </w:pPr>
      <w:r>
        <w:rPr>
          <w:rFonts w:hint="eastAsia"/>
          <w:bCs/>
        </w:rPr>
        <w:t>（1）供水</w:t>
      </w:r>
      <w:r>
        <w:rPr>
          <w:bCs/>
        </w:rPr>
        <w:t>设施统筹规划</w:t>
      </w:r>
    </w:p>
    <w:p>
      <w:pPr>
        <w:spacing w:before="156"/>
        <w:rPr>
          <w:rFonts w:ascii="宋体" w:hAnsi="宋体"/>
        </w:rPr>
      </w:pPr>
      <w:r>
        <w:rPr>
          <w:rFonts w:hint="eastAsia" w:ascii="宋体" w:hAnsi="宋体"/>
        </w:rPr>
        <w:t>区域</w:t>
      </w:r>
      <w:r>
        <w:rPr>
          <w:rFonts w:ascii="宋体" w:hAnsi="宋体"/>
        </w:rPr>
        <w:t>联供、</w:t>
      </w:r>
      <w:r>
        <w:rPr>
          <w:rFonts w:hint="eastAsia" w:ascii="宋体" w:hAnsi="宋体"/>
        </w:rPr>
        <w:t>集约化</w:t>
      </w:r>
      <w:r>
        <w:rPr>
          <w:rFonts w:ascii="宋体" w:hAnsi="宋体"/>
        </w:rPr>
        <w:t>供水。</w:t>
      </w:r>
      <w:r>
        <w:rPr>
          <w:rFonts w:hint="eastAsia" w:ascii="宋体" w:hAnsi="宋体"/>
        </w:rPr>
        <w:t>规划区</w:t>
      </w:r>
      <w:r>
        <w:rPr>
          <w:rFonts w:ascii="宋体" w:hAnsi="宋体"/>
        </w:rPr>
        <w:t>内以</w:t>
      </w:r>
      <w:r>
        <w:rPr>
          <w:rFonts w:hint="eastAsia" w:ascii="宋体" w:hAnsi="宋体"/>
          <w:lang w:eastAsia="zh-CN"/>
        </w:rPr>
        <w:t>西窑</w:t>
      </w:r>
      <w:r>
        <w:rPr>
          <w:rFonts w:hint="eastAsia" w:ascii="宋体" w:hAnsi="宋体"/>
        </w:rPr>
        <w:t>水源地地下水、北山水源地</w:t>
      </w:r>
      <w:r>
        <w:rPr>
          <w:rFonts w:ascii="宋体" w:hAnsi="宋体"/>
        </w:rPr>
        <w:t>地下水、</w:t>
      </w:r>
      <w:r>
        <w:rPr>
          <w:rFonts w:hint="eastAsia" w:ascii="宋体" w:hAnsi="宋体"/>
        </w:rPr>
        <w:t>松塔</w:t>
      </w:r>
      <w:r>
        <w:rPr>
          <w:rFonts w:ascii="宋体" w:hAnsi="宋体"/>
        </w:rPr>
        <w:t>水库地表水以及太榆协调引黄水</w:t>
      </w:r>
      <w:r>
        <w:rPr>
          <w:rFonts w:hint="eastAsia" w:ascii="宋体" w:hAnsi="宋体"/>
        </w:rPr>
        <w:t>为</w:t>
      </w:r>
      <w:r>
        <w:rPr>
          <w:rFonts w:ascii="宋体" w:hAnsi="宋体"/>
        </w:rPr>
        <w:t>主要水源，以再生水</w:t>
      </w:r>
      <w:r>
        <w:rPr>
          <w:rFonts w:hint="eastAsia" w:ascii="宋体" w:hAnsi="宋体"/>
        </w:rPr>
        <w:t>为</w:t>
      </w:r>
      <w:r>
        <w:rPr>
          <w:rFonts w:ascii="宋体" w:hAnsi="宋体"/>
        </w:rPr>
        <w:t>重要补充水源</w:t>
      </w:r>
      <w:r>
        <w:rPr>
          <w:rFonts w:hint="eastAsia" w:ascii="宋体" w:hAnsi="宋体"/>
        </w:rPr>
        <w:t>。近期</w:t>
      </w:r>
      <w:r>
        <w:rPr>
          <w:rFonts w:ascii="宋体" w:hAnsi="宋体"/>
        </w:rPr>
        <w:t>应完善与</w:t>
      </w:r>
      <w:r>
        <w:rPr>
          <w:rFonts w:hint="eastAsia" w:ascii="宋体" w:hAnsi="宋体"/>
        </w:rPr>
        <w:t>太原</w:t>
      </w:r>
      <w:r>
        <w:rPr>
          <w:rFonts w:ascii="宋体" w:hAnsi="宋体"/>
        </w:rPr>
        <w:t>供水管网的</w:t>
      </w:r>
      <w:r>
        <w:rPr>
          <w:rFonts w:hint="eastAsia" w:ascii="宋体" w:hAnsi="宋体"/>
        </w:rPr>
        <w:t>区域</w:t>
      </w:r>
      <w:r>
        <w:rPr>
          <w:rFonts w:ascii="宋体" w:hAnsi="宋体"/>
        </w:rPr>
        <w:t>联网</w:t>
      </w:r>
      <w:r>
        <w:rPr>
          <w:rFonts w:hint="eastAsia" w:ascii="宋体" w:hAnsi="宋体"/>
        </w:rPr>
        <w:t>，保障</w:t>
      </w:r>
      <w:r>
        <w:rPr>
          <w:rFonts w:ascii="宋体" w:hAnsi="宋体"/>
        </w:rPr>
        <w:t>中心城区供水水源；</w:t>
      </w:r>
      <w:r>
        <w:rPr>
          <w:rFonts w:hint="eastAsia" w:ascii="宋体" w:hAnsi="宋体"/>
        </w:rPr>
        <w:t>中远期应</w:t>
      </w:r>
      <w:r>
        <w:rPr>
          <w:rFonts w:ascii="宋体" w:hAnsi="宋体"/>
        </w:rPr>
        <w:t>加强中心城区供水</w:t>
      </w:r>
      <w:r>
        <w:rPr>
          <w:rFonts w:hint="eastAsia" w:ascii="宋体" w:hAnsi="宋体"/>
        </w:rPr>
        <w:t>管网对</w:t>
      </w:r>
      <w:r>
        <w:rPr>
          <w:rFonts w:ascii="宋体" w:hAnsi="宋体"/>
        </w:rPr>
        <w:t>周边乡镇</w:t>
      </w:r>
      <w:r>
        <w:rPr>
          <w:rFonts w:hint="eastAsia" w:ascii="宋体" w:hAnsi="宋体"/>
        </w:rPr>
        <w:t>辐射</w:t>
      </w:r>
      <w:r>
        <w:rPr>
          <w:rFonts w:ascii="宋体" w:hAnsi="宋体"/>
        </w:rPr>
        <w:t>，</w:t>
      </w:r>
      <w:r>
        <w:rPr>
          <w:rFonts w:hint="eastAsia" w:ascii="宋体" w:hAnsi="宋体"/>
        </w:rPr>
        <w:t>实现</w:t>
      </w:r>
      <w:r>
        <w:rPr>
          <w:rFonts w:ascii="宋体" w:hAnsi="宋体"/>
        </w:rPr>
        <w:t>城镇供水</w:t>
      </w:r>
      <w:r>
        <w:rPr>
          <w:rFonts w:hint="eastAsia" w:ascii="宋体" w:hAnsi="宋体"/>
        </w:rPr>
        <w:t>统筹</w:t>
      </w:r>
      <w:r>
        <w:rPr>
          <w:rFonts w:ascii="宋体" w:hAnsi="宋体"/>
        </w:rPr>
        <w:t>一体化系统，</w:t>
      </w:r>
      <w:r>
        <w:rPr>
          <w:rFonts w:hint="eastAsia" w:ascii="宋体" w:hAnsi="宋体"/>
        </w:rPr>
        <w:t>逐步实现二</w:t>
      </w:r>
      <w:r>
        <w:rPr>
          <w:rFonts w:ascii="宋体" w:hAnsi="宋体"/>
        </w:rPr>
        <w:t>水厂</w:t>
      </w:r>
      <w:r>
        <w:rPr>
          <w:rFonts w:hint="eastAsia" w:ascii="宋体" w:hAnsi="宋体"/>
        </w:rPr>
        <w:t>向长凝</w:t>
      </w:r>
      <w:r>
        <w:rPr>
          <w:rFonts w:ascii="宋体" w:hAnsi="宋体"/>
        </w:rPr>
        <w:t>镇、</w:t>
      </w:r>
      <w:r>
        <w:rPr>
          <w:rFonts w:hint="eastAsia" w:ascii="宋体" w:hAnsi="宋体"/>
        </w:rPr>
        <w:t>北田镇</w:t>
      </w:r>
      <w:r>
        <w:rPr>
          <w:rFonts w:ascii="宋体" w:hAnsi="宋体"/>
        </w:rPr>
        <w:t>、东阳镇供水</w:t>
      </w:r>
      <w:r>
        <w:rPr>
          <w:rFonts w:hint="eastAsia" w:ascii="宋体" w:hAnsi="宋体"/>
        </w:rPr>
        <w:t>，三水厂向什</w:t>
      </w:r>
      <w:r>
        <w:rPr>
          <w:rFonts w:ascii="宋体" w:hAnsi="宋体"/>
        </w:rPr>
        <w:t>贴镇供水。</w:t>
      </w:r>
    </w:p>
    <w:p>
      <w:pPr>
        <w:spacing w:before="156"/>
      </w:pPr>
      <w:r>
        <w:rPr>
          <w:rFonts w:hint="eastAsia"/>
        </w:rPr>
        <w:t>村庄逐步实现集中供水。城镇附近的村庄由城镇水厂统一供水，偏远村庄应根据各自水源条件，尽量利用地下水解决。集中供水水源水质应由供水单位定期监测，并接受水行政主管部门的监督管理，确保农村地区人、畜饮水安全。</w:t>
      </w:r>
    </w:p>
    <w:p>
      <w:pPr>
        <w:pStyle w:val="131"/>
        <w:spacing w:before="156"/>
        <w:ind w:left="960"/>
        <w:rPr>
          <w:bCs/>
        </w:rPr>
      </w:pPr>
      <w:r>
        <w:rPr>
          <w:rFonts w:hint="eastAsia"/>
          <w:bCs/>
        </w:rPr>
        <w:t>（2）排水</w:t>
      </w:r>
      <w:r>
        <w:rPr>
          <w:bCs/>
        </w:rPr>
        <w:t>设施统筹规划</w:t>
      </w:r>
    </w:p>
    <w:p>
      <w:pPr>
        <w:spacing w:before="156"/>
      </w:pPr>
      <w:r>
        <w:rPr>
          <w:rFonts w:hint="eastAsia"/>
        </w:rPr>
        <w:t>统筹布局，分区域集中处理污水。根据规划区污水收集条件，在中心城区设置高教园污水处理厂及第二污水处理厂收集处理中心城区污水。中心城区</w:t>
      </w:r>
      <w:r>
        <w:t>周边长凝镇、北田镇、东阳镇、什贴镇等</w:t>
      </w:r>
      <w:r>
        <w:rPr>
          <w:rFonts w:hint="eastAsia"/>
        </w:rPr>
        <w:t>乡镇</w:t>
      </w:r>
      <w:r>
        <w:t>应设置独立的污水处理站，</w:t>
      </w:r>
      <w:r>
        <w:rPr>
          <w:rFonts w:hint="eastAsia"/>
        </w:rPr>
        <w:t>收集</w:t>
      </w:r>
      <w:r>
        <w:t>处理镇区污水。</w:t>
      </w:r>
      <w:r>
        <w:rPr>
          <w:rFonts w:hint="eastAsia"/>
        </w:rPr>
        <w:t>各村庄应建设污水收集系统，因地制宜建设小型污水处理设施，</w:t>
      </w:r>
      <w:r>
        <w:rPr>
          <w:rFonts w:hint="eastAsia" w:ascii="宋体" w:hAnsi="宋体"/>
        </w:rPr>
        <w:t>污水可经氧化塘、氧化沟或沼气池净化简易处理达标后用于农田灌溉</w:t>
      </w:r>
      <w:r>
        <w:rPr>
          <w:rFonts w:hint="eastAsia"/>
        </w:rPr>
        <w:t>。</w:t>
      </w:r>
    </w:p>
    <w:p>
      <w:pPr>
        <w:pStyle w:val="131"/>
        <w:spacing w:before="156"/>
        <w:ind w:left="960"/>
        <w:rPr>
          <w:bCs/>
        </w:rPr>
      </w:pPr>
      <w:r>
        <w:rPr>
          <w:rFonts w:hint="eastAsia"/>
          <w:bCs/>
        </w:rPr>
        <w:t>（3）供电设施</w:t>
      </w:r>
      <w:r>
        <w:rPr>
          <w:bCs/>
        </w:rPr>
        <w:t>统筹规划</w:t>
      </w:r>
    </w:p>
    <w:p>
      <w:pPr>
        <w:spacing w:before="156"/>
      </w:pPr>
      <w:r>
        <w:rPr>
          <w:rFonts w:hint="eastAsia"/>
        </w:rPr>
        <w:t>规划区</w:t>
      </w:r>
      <w:r>
        <w:t>以</w:t>
      </w:r>
      <w:r>
        <w:rPr>
          <w:rFonts w:hint="eastAsia"/>
        </w:rPr>
        <w:t>瑞光</w:t>
      </w:r>
      <w:r>
        <w:t>热电厂、</w:t>
      </w:r>
      <w:r>
        <w:rPr>
          <w:rFonts w:hint="eastAsia"/>
        </w:rPr>
        <w:t>榆次</w:t>
      </w:r>
      <w:r>
        <w:t>热电厂、</w:t>
      </w:r>
      <w:r>
        <w:rPr>
          <w:rFonts w:hint="eastAsia"/>
        </w:rPr>
        <w:t>500</w:t>
      </w:r>
      <w:r>
        <w:t>kV福瑞变电站、500kV</w:t>
      </w:r>
      <w:r>
        <w:rPr>
          <w:rFonts w:hint="eastAsia"/>
        </w:rPr>
        <w:t>晋中</w:t>
      </w:r>
      <w:r>
        <w:t>变电站</w:t>
      </w:r>
      <w:r>
        <w:rPr>
          <w:rFonts w:hint="eastAsia"/>
        </w:rPr>
        <w:t>为</w:t>
      </w:r>
      <w:r>
        <w:t>电源，</w:t>
      </w:r>
      <w:r>
        <w:rPr>
          <w:rFonts w:hint="eastAsia"/>
        </w:rPr>
        <w:t>统筹</w:t>
      </w:r>
      <w:r>
        <w:t>布局</w:t>
      </w:r>
      <w:r>
        <w:rPr>
          <w:rFonts w:hint="eastAsia"/>
        </w:rPr>
        <w:t>220</w:t>
      </w:r>
      <w:r>
        <w:t>kV及</w:t>
      </w:r>
      <w:r>
        <w:rPr>
          <w:rFonts w:hint="eastAsia"/>
        </w:rPr>
        <w:t>以下</w:t>
      </w:r>
      <w:r>
        <w:t>输变电工程。</w:t>
      </w:r>
      <w:r>
        <w:rPr>
          <w:rFonts w:hint="eastAsia"/>
        </w:rPr>
        <w:t>中心城区设置220</w:t>
      </w:r>
      <w:r>
        <w:t>kV</w:t>
      </w:r>
      <w:r>
        <w:rPr>
          <w:rFonts w:hint="eastAsia"/>
        </w:rPr>
        <w:t>公用</w:t>
      </w:r>
      <w:r>
        <w:t>变电站</w:t>
      </w:r>
      <w:r>
        <w:rPr>
          <w:rFonts w:hint="eastAsia"/>
        </w:rPr>
        <w:t>5座、</w:t>
      </w:r>
      <w:r>
        <w:t>110kV公用变电站</w:t>
      </w:r>
      <w:r>
        <w:rPr>
          <w:rFonts w:hint="eastAsia"/>
        </w:rPr>
        <w:t>19座</w:t>
      </w:r>
      <w:r>
        <w:t>。长凝镇、北田镇、东阳镇、什贴镇等</w:t>
      </w:r>
      <w:r>
        <w:rPr>
          <w:rFonts w:hint="eastAsia"/>
        </w:rPr>
        <w:t>乡镇以</w:t>
      </w:r>
      <w:r>
        <w:t>中心城区</w:t>
      </w:r>
      <w:r>
        <w:rPr>
          <w:rFonts w:hint="eastAsia"/>
        </w:rPr>
        <w:t>220</w:t>
      </w:r>
      <w:r>
        <w:t>kV变电站</w:t>
      </w:r>
      <w:r>
        <w:rPr>
          <w:rFonts w:hint="eastAsia"/>
        </w:rPr>
        <w:t>为</w:t>
      </w:r>
      <w:r>
        <w:t>电源点，</w:t>
      </w:r>
      <w:r>
        <w:rPr>
          <w:rFonts w:hint="eastAsia"/>
        </w:rPr>
        <w:t>按照重点镇至少应建设一座</w:t>
      </w:r>
      <w:r>
        <w:t>110kV</w:t>
      </w:r>
      <w:r>
        <w:rPr>
          <w:rFonts w:hint="eastAsia"/>
        </w:rPr>
        <w:t>变电站的</w:t>
      </w:r>
      <w:r>
        <w:t>建设标准完善</w:t>
      </w:r>
      <w:r>
        <w:rPr>
          <w:rFonts w:hint="eastAsia"/>
        </w:rPr>
        <w:t>农村</w:t>
      </w:r>
      <w:r>
        <w:t>电网建设。</w:t>
      </w:r>
    </w:p>
    <w:p>
      <w:pPr>
        <w:pStyle w:val="131"/>
        <w:spacing w:before="156"/>
        <w:ind w:left="960"/>
        <w:rPr>
          <w:bCs/>
        </w:rPr>
      </w:pPr>
      <w:r>
        <w:rPr>
          <w:rFonts w:hint="eastAsia"/>
          <w:bCs/>
        </w:rPr>
        <w:t>（4）燃气</w:t>
      </w:r>
      <w:r>
        <w:rPr>
          <w:bCs/>
        </w:rPr>
        <w:t>设施</w:t>
      </w:r>
      <w:r>
        <w:rPr>
          <w:rFonts w:hint="eastAsia"/>
          <w:bCs/>
        </w:rPr>
        <w:t>统筹</w:t>
      </w:r>
      <w:r>
        <w:rPr>
          <w:bCs/>
        </w:rPr>
        <w:t>规划</w:t>
      </w:r>
    </w:p>
    <w:p>
      <w:pPr>
        <w:spacing w:before="156"/>
      </w:pPr>
      <w:r>
        <w:rPr>
          <w:rFonts w:hint="eastAsia"/>
        </w:rPr>
        <w:t>区域</w:t>
      </w:r>
      <w:r>
        <w:t>统筹，一体化供气。</w:t>
      </w:r>
      <w:r>
        <w:rPr>
          <w:rFonts w:hint="eastAsia"/>
        </w:rPr>
        <w:t>规划区形成以“陕京二线大盂</w:t>
      </w:r>
      <w:r>
        <w:rPr>
          <w:rFonts w:hint="eastAsia"/>
        </w:rPr>
        <w:softHyphen/>
      </w:r>
      <w:r>
        <w:rPr>
          <w:rFonts w:hint="eastAsia"/>
        </w:rPr>
        <w:t>—平遥”输气管线天然气、“长治-太原”煤层气管线煤层气、神龙焦化厂焦炉煤气</w:t>
      </w:r>
      <w:r>
        <w:t>以及</w:t>
      </w:r>
      <w:r>
        <w:rPr>
          <w:rFonts w:hint="eastAsia" w:ascii="宋体" w:hAnsi="宋体"/>
        </w:rPr>
        <w:t>压缩天然气、瓶装或瓶组液化石油气供气为气源</w:t>
      </w:r>
      <w:r>
        <w:rPr>
          <w:rFonts w:ascii="宋体" w:hAnsi="宋体"/>
        </w:rPr>
        <w:t>的</w:t>
      </w:r>
      <w:r>
        <w:rPr>
          <w:rFonts w:hint="eastAsia" w:ascii="宋体" w:hAnsi="宋体"/>
        </w:rPr>
        <w:t>多</w:t>
      </w:r>
      <w:r>
        <w:rPr>
          <w:rFonts w:ascii="宋体" w:hAnsi="宋体"/>
        </w:rPr>
        <w:t>气源</w:t>
      </w:r>
      <w:r>
        <w:rPr>
          <w:rFonts w:hint="eastAsia" w:ascii="宋体" w:hAnsi="宋体"/>
        </w:rPr>
        <w:t>供气</w:t>
      </w:r>
      <w:r>
        <w:rPr>
          <w:rFonts w:ascii="宋体" w:hAnsi="宋体"/>
        </w:rPr>
        <w:t>格局。</w:t>
      </w:r>
      <w:r>
        <w:rPr>
          <w:rFonts w:hint="eastAsia" w:ascii="宋体" w:hAnsi="宋体"/>
        </w:rPr>
        <w:t>通过</w:t>
      </w:r>
      <w:r>
        <w:rPr>
          <w:rFonts w:ascii="宋体" w:hAnsi="宋体"/>
        </w:rPr>
        <w:t>完善中心城区燃气场站及管网建设，逐步实现中心城区</w:t>
      </w:r>
      <w:r>
        <w:rPr>
          <w:rFonts w:hint="eastAsia" w:ascii="宋体" w:hAnsi="宋体"/>
        </w:rPr>
        <w:t>燃气</w:t>
      </w:r>
      <w:r>
        <w:rPr>
          <w:rFonts w:ascii="宋体" w:hAnsi="宋体"/>
        </w:rPr>
        <w:t>场站向周边</w:t>
      </w:r>
      <w:r>
        <w:t>长凝镇、北田镇、东阳镇、什贴镇</w:t>
      </w:r>
      <w:r>
        <w:rPr>
          <w:rFonts w:hint="eastAsia"/>
        </w:rPr>
        <w:t>供应</w:t>
      </w:r>
      <w:r>
        <w:t>管道天然气。</w:t>
      </w:r>
      <w:r>
        <w:rPr>
          <w:rFonts w:hint="eastAsia" w:ascii="宋体" w:hAnsi="宋体"/>
        </w:rPr>
        <w:t>管道燃气未能普及的农村</w:t>
      </w:r>
      <w:r>
        <w:rPr>
          <w:rFonts w:ascii="宋体" w:hAnsi="宋体"/>
        </w:rPr>
        <w:t>地区</w:t>
      </w:r>
      <w:r>
        <w:rPr>
          <w:rFonts w:hint="eastAsia" w:ascii="宋体" w:hAnsi="宋体"/>
        </w:rPr>
        <w:t>，可采用压缩天然气、瓶装或瓶组液化石油气供气。</w:t>
      </w:r>
    </w:p>
    <w:p>
      <w:pPr>
        <w:pStyle w:val="131"/>
        <w:spacing w:before="156"/>
        <w:ind w:left="960"/>
        <w:rPr>
          <w:bCs/>
        </w:rPr>
      </w:pPr>
      <w:r>
        <w:rPr>
          <w:rFonts w:hint="eastAsia"/>
          <w:bCs/>
        </w:rPr>
        <w:t>（5）环卫</w:t>
      </w:r>
      <w:r>
        <w:rPr>
          <w:bCs/>
        </w:rPr>
        <w:t>设施统筹规划</w:t>
      </w:r>
    </w:p>
    <w:p>
      <w:pPr>
        <w:spacing w:before="156"/>
      </w:pPr>
      <w:r>
        <w:rPr>
          <w:rFonts w:hint="eastAsia"/>
        </w:rPr>
        <w:t>设施共享，统一处理。规划区</w:t>
      </w:r>
      <w:r>
        <w:t>内</w:t>
      </w:r>
      <w:r>
        <w:rPr>
          <w:rFonts w:hint="eastAsia"/>
        </w:rPr>
        <w:t>生活</w:t>
      </w:r>
      <w:r>
        <w:t>垃圾统一由杨梁垃圾</w:t>
      </w:r>
      <w:r>
        <w:rPr>
          <w:rFonts w:hint="eastAsia"/>
        </w:rPr>
        <w:t>综合</w:t>
      </w:r>
      <w:r>
        <w:t>处理厂</w:t>
      </w:r>
      <w:r>
        <w:rPr>
          <w:rFonts w:hint="eastAsia"/>
        </w:rPr>
        <w:t>综合</w:t>
      </w:r>
      <w:r>
        <w:t>处理。</w:t>
      </w:r>
      <w:r>
        <w:rPr>
          <w:rFonts w:hint="eastAsia"/>
        </w:rPr>
        <w:t>中心城区</w:t>
      </w:r>
      <w:r>
        <w:t>及</w:t>
      </w:r>
      <w:r>
        <w:rPr>
          <w:rFonts w:hint="eastAsia"/>
        </w:rPr>
        <w:t>周边</w:t>
      </w:r>
      <w:r>
        <w:t>长凝镇、北田镇、东阳镇、什贴镇等乡镇应建设垃圾转运站，负责将</w:t>
      </w:r>
      <w:r>
        <w:rPr>
          <w:rFonts w:hint="eastAsia"/>
        </w:rPr>
        <w:t>区域</w:t>
      </w:r>
      <w:r>
        <w:t>内生活垃圾转运至杨梁垃圾综合处理厂。</w:t>
      </w:r>
      <w:r>
        <w:rPr>
          <w:rFonts w:hint="eastAsia"/>
        </w:rPr>
        <w:t>农村地区按照</w:t>
      </w:r>
      <w:r>
        <w:t>“分类收集、定点存放、定时清运、集中处理”的原则，按服务半径100-150米</w:t>
      </w:r>
      <w:r>
        <w:rPr>
          <w:rFonts w:hint="eastAsia"/>
        </w:rPr>
        <w:t>设置垃圾</w:t>
      </w:r>
      <w:r>
        <w:t>收集转运点</w:t>
      </w:r>
      <w:r>
        <w:rPr>
          <w:rFonts w:hint="eastAsia"/>
        </w:rPr>
        <w:t>。</w:t>
      </w:r>
    </w:p>
    <w:p>
      <w:pPr>
        <w:pStyle w:val="3"/>
        <w:spacing w:before="156" w:after="156"/>
      </w:pPr>
      <w:bookmarkStart w:id="209" w:name="_Toc492850114"/>
      <w:r>
        <w:rPr>
          <w:rFonts w:hint="eastAsia"/>
        </w:rPr>
        <w:t>第七节规划区空间管制</w:t>
      </w:r>
      <w:bookmarkEnd w:id="209"/>
    </w:p>
    <w:p>
      <w:pPr>
        <w:pStyle w:val="4"/>
        <w:tabs>
          <w:tab w:val="left" w:pos="993"/>
          <w:tab w:val="clear" w:pos="1260"/>
        </w:tabs>
        <w:spacing w:before="312"/>
        <w:ind w:left="851" w:hanging="834"/>
      </w:pPr>
      <w:r>
        <w:rPr>
          <w:rFonts w:hint="eastAsia"/>
        </w:rPr>
        <w:t>禁建区</w:t>
      </w:r>
    </w:p>
    <w:p>
      <w:pPr>
        <w:spacing w:before="156"/>
        <w:rPr>
          <w:b/>
          <w:u w:val="single"/>
        </w:rPr>
      </w:pPr>
      <w:r>
        <w:rPr>
          <w:rFonts w:hint="eastAsia"/>
          <w:b/>
          <w:u w:val="single"/>
        </w:rPr>
        <w:t>禁建区包括生态保护区、基本农田保护区、文物保护单位等区域。</w:t>
      </w:r>
    </w:p>
    <w:p>
      <w:pPr>
        <w:spacing w:before="156"/>
        <w:rPr>
          <w:b/>
          <w:u w:val="single"/>
        </w:rPr>
      </w:pPr>
      <w:r>
        <w:rPr>
          <w:rFonts w:hint="eastAsia"/>
          <w:b/>
          <w:u w:val="single"/>
        </w:rPr>
        <w:t>生态保护区：具有重大生态价值的场所与影响地区生态安全格局的空间。包括规划区东北部坡度大多在25度以上的山体保护区、乌金山国家森林公园核心区、八缚岭自然保护区的核心区和实验区；河流保护区主要指潇河、象峪河等河流以及生态防护林带、经济林、退耕还林区、重要生态廊道、城镇饮用水源一级保护区、地震活动断裂带、地质灾害危险区、工程建设不适宜区、重要基础设施防护区等。</w:t>
      </w:r>
    </w:p>
    <w:p>
      <w:pPr>
        <w:spacing w:before="156"/>
        <w:rPr>
          <w:b/>
          <w:u w:val="single"/>
        </w:rPr>
      </w:pPr>
      <w:r>
        <w:rPr>
          <w:rFonts w:hint="eastAsia"/>
          <w:b/>
          <w:u w:val="single"/>
        </w:rPr>
        <w:t>基本农田保护区：严格遵守土地利用规划确定的基本农田保护范围，城市建设不得占用基本农田。</w:t>
      </w:r>
    </w:p>
    <w:p>
      <w:pPr>
        <w:spacing w:before="156"/>
        <w:rPr>
          <w:b/>
          <w:u w:val="single"/>
        </w:rPr>
      </w:pPr>
      <w:r>
        <w:rPr>
          <w:rFonts w:hint="eastAsia"/>
          <w:b/>
          <w:u w:val="single"/>
        </w:rPr>
        <w:t>文物保护单位：各级文物保护单位的保护范围。</w:t>
      </w:r>
    </w:p>
    <w:p>
      <w:pPr>
        <w:spacing w:before="156"/>
        <w:rPr>
          <w:b/>
          <w:u w:val="single"/>
        </w:rPr>
      </w:pPr>
      <w:r>
        <w:rPr>
          <w:rFonts w:hint="eastAsia"/>
          <w:b/>
          <w:u w:val="single"/>
        </w:rPr>
        <w:t>禁建区内严格禁止城镇建设和与限制性要素保护无关的其他建设活动；对于不符合资源环境保护要求的已建项目必须限期搬迁，并做好生态修复工作，恢复地区的生态功能；加强管理力度，严格执行国家有关规定，禁止在该区域内进行有损生态环境保护的各种活动；对于特殊情况下特殊项目，确实无法避开禁止建设区的，必须进行严格的环境影响评估等研究，并须经相关法定程序批准，在符合国家相关法律法规的规定与要求的前提下方可实施。</w:t>
      </w:r>
    </w:p>
    <w:p>
      <w:pPr>
        <w:pStyle w:val="4"/>
        <w:tabs>
          <w:tab w:val="left" w:pos="993"/>
          <w:tab w:val="clear" w:pos="1260"/>
        </w:tabs>
        <w:spacing w:before="312"/>
        <w:ind w:left="851" w:hanging="834"/>
      </w:pPr>
      <w:r>
        <w:rPr>
          <w:rFonts w:hint="eastAsia"/>
        </w:rPr>
        <w:t>限建区</w:t>
      </w:r>
    </w:p>
    <w:p>
      <w:pPr>
        <w:spacing w:before="156"/>
      </w:pPr>
      <w:r>
        <w:rPr>
          <w:rFonts w:hint="eastAsia"/>
        </w:rPr>
        <w:t>限建区</w:t>
      </w:r>
      <w:r>
        <w:rPr>
          <w:rFonts w:hint="eastAsia"/>
          <w:bCs/>
        </w:rPr>
        <w:t>是除适建区和禁建区以外的空间区域内，区内包括自然条件较好、生态较为敏感地区，以及城镇规划建设用地范围内的一般农田等地区，主要</w:t>
      </w:r>
      <w:r>
        <w:rPr>
          <w:rFonts w:hint="eastAsia"/>
        </w:rPr>
        <w:t>范围包括自然保护区实验区、饮用水源二级保护区、地质灾害易发区、工程建设适宜性差区、15-25度坡地、基础设施走廊控制区、矿产资源密集区、机场净空区等。</w:t>
      </w:r>
    </w:p>
    <w:p>
      <w:pPr>
        <w:spacing w:before="156"/>
      </w:pPr>
      <w:r>
        <w:rPr>
          <w:rFonts w:hint="eastAsia"/>
        </w:rPr>
        <w:t>限建区内应加强对区域用地的合理引导，严格控制大规模开发建设对该类地区生态环境的破坏；</w:t>
      </w:r>
      <w:r>
        <w:rPr>
          <w:rFonts w:hint="eastAsia"/>
          <w:b/>
          <w:u w:val="single"/>
        </w:rPr>
        <w:t>对限建区内已破坏的水系、植被应有计划的修复、疏浚、保护和治理；加强对适应当地生长条件的生物群落培育，注重物种向多样化、本土化发展。城镇规划建设用地范围以内的农田，应与国土部门协商，适时有序地转换为城市建设用地。</w:t>
      </w:r>
    </w:p>
    <w:p>
      <w:pPr>
        <w:pStyle w:val="4"/>
        <w:tabs>
          <w:tab w:val="left" w:pos="993"/>
          <w:tab w:val="clear" w:pos="1260"/>
        </w:tabs>
        <w:spacing w:before="312"/>
        <w:ind w:left="851" w:hanging="834"/>
      </w:pPr>
      <w:r>
        <w:rPr>
          <w:rFonts w:hint="eastAsia"/>
        </w:rPr>
        <w:t>适建区</w:t>
      </w:r>
    </w:p>
    <w:p>
      <w:pPr>
        <w:spacing w:before="156"/>
      </w:pPr>
      <w:r>
        <w:rPr>
          <w:rFonts w:hint="eastAsia"/>
        </w:rPr>
        <w:t>适建区为城镇开发边界以内的区域，是规划期内城镇集中开发建设的区域。</w:t>
      </w:r>
    </w:p>
    <w:p>
      <w:pPr>
        <w:spacing w:before="156"/>
      </w:pPr>
      <w:r>
        <w:rPr>
          <w:rFonts w:hint="eastAsia"/>
        </w:rPr>
        <w:t>规划实施过程中，在确保规划期内建设用地总规模不变的前提下，其空间布局形态可依程序进行调整，但不得突破适建区范围。适建区以外原则上不可进行城镇和产业的开发建设。</w:t>
      </w:r>
    </w:p>
    <w:p>
      <w:pPr>
        <w:pStyle w:val="2"/>
        <w:spacing w:before="156"/>
        <w:ind w:left="1134" w:hanging="600"/>
        <w:sectPr>
          <w:pgSz w:w="11906" w:h="16838"/>
          <w:pgMar w:top="1440" w:right="1800" w:bottom="1440" w:left="1800" w:header="851" w:footer="992" w:gutter="0"/>
          <w:cols w:space="425" w:num="1"/>
          <w:docGrid w:type="lines" w:linePitch="312" w:charSpace="0"/>
        </w:sectPr>
      </w:pPr>
    </w:p>
    <w:p>
      <w:pPr>
        <w:pStyle w:val="2"/>
        <w:spacing w:before="156"/>
        <w:ind w:left="1134" w:hanging="600"/>
      </w:pPr>
      <w:bookmarkStart w:id="210" w:name="_Toc492850115"/>
      <w:r>
        <w:rPr>
          <w:rFonts w:hint="eastAsia"/>
        </w:rPr>
        <w:t>中心城区总体规划</w:t>
      </w:r>
      <w:bookmarkEnd w:id="194"/>
      <w:bookmarkEnd w:id="195"/>
      <w:bookmarkEnd w:id="196"/>
      <w:bookmarkEnd w:id="197"/>
      <w:bookmarkEnd w:id="198"/>
      <w:bookmarkEnd w:id="199"/>
      <w:bookmarkEnd w:id="200"/>
      <w:bookmarkEnd w:id="210"/>
      <w:bookmarkStart w:id="211" w:name="_Toc277459701"/>
      <w:bookmarkStart w:id="212" w:name="_Toc277460742"/>
      <w:bookmarkStart w:id="213" w:name="_Toc277460148"/>
      <w:bookmarkStart w:id="214" w:name="_Toc277460899"/>
      <w:bookmarkStart w:id="215" w:name="_Toc277460585"/>
      <w:bookmarkStart w:id="216" w:name="_Toc275417944"/>
      <w:bookmarkStart w:id="217" w:name="_Toc275418509"/>
    </w:p>
    <w:p>
      <w:pPr>
        <w:pStyle w:val="3"/>
        <w:spacing w:before="156" w:after="156"/>
        <w:rPr>
          <w:rStyle w:val="52"/>
          <w:b w:val="0"/>
          <w:color w:val="auto"/>
          <w:u w:val="none"/>
        </w:rPr>
      </w:pPr>
      <w:bookmarkStart w:id="218" w:name="_Toc492850116"/>
      <w:r>
        <w:rPr>
          <w:rStyle w:val="52"/>
          <w:rFonts w:hint="eastAsia"/>
          <w:b w:val="0"/>
          <w:color w:val="auto"/>
          <w:u w:val="none"/>
        </w:rPr>
        <w:t>第一节 城市性质与职能</w:t>
      </w:r>
      <w:bookmarkEnd w:id="211"/>
      <w:bookmarkEnd w:id="212"/>
      <w:bookmarkEnd w:id="213"/>
      <w:bookmarkEnd w:id="214"/>
      <w:bookmarkEnd w:id="215"/>
      <w:bookmarkEnd w:id="218"/>
    </w:p>
    <w:p>
      <w:pPr>
        <w:pStyle w:val="4"/>
        <w:tabs>
          <w:tab w:val="left" w:pos="993"/>
          <w:tab w:val="clear" w:pos="1260"/>
        </w:tabs>
        <w:spacing w:before="312"/>
        <w:ind w:left="851" w:hanging="834"/>
      </w:pPr>
      <w:bookmarkStart w:id="219" w:name="_Toc277460586"/>
      <w:bookmarkStart w:id="220" w:name="_Toc277460900"/>
      <w:bookmarkStart w:id="221" w:name="_Toc275418452"/>
      <w:bookmarkStart w:id="222" w:name="_Toc277460743"/>
      <w:r>
        <w:rPr>
          <w:rFonts w:hint="eastAsia"/>
        </w:rPr>
        <w:t>城市性质</w:t>
      </w:r>
      <w:bookmarkEnd w:id="219"/>
      <w:bookmarkEnd w:id="220"/>
      <w:bookmarkEnd w:id="221"/>
      <w:bookmarkEnd w:id="222"/>
    </w:p>
    <w:p>
      <w:pPr>
        <w:spacing w:before="156"/>
      </w:pPr>
      <w:bookmarkStart w:id="223" w:name="_Toc277460901"/>
      <w:bookmarkStart w:id="224" w:name="_Toc277460744"/>
      <w:bookmarkStart w:id="225" w:name="_Toc277460587"/>
      <w:bookmarkStart w:id="226" w:name="_Toc275418453"/>
      <w:r>
        <w:rPr>
          <w:rFonts w:hint="eastAsia"/>
        </w:rPr>
        <w:t>晋中是与太原同城发展的省域核心，山西省重要的高教研发中心、商贸物流枢纽和先进制造业基地，文化底蕴深厚的宜居城市。</w:t>
      </w:r>
    </w:p>
    <w:p>
      <w:pPr>
        <w:pStyle w:val="4"/>
        <w:tabs>
          <w:tab w:val="left" w:pos="993"/>
          <w:tab w:val="clear" w:pos="1260"/>
        </w:tabs>
        <w:spacing w:before="312"/>
        <w:ind w:left="851" w:hanging="834"/>
      </w:pPr>
      <w:r>
        <w:rPr>
          <w:rFonts w:hint="eastAsia"/>
        </w:rPr>
        <w:t>城市职能</w:t>
      </w:r>
      <w:bookmarkEnd w:id="223"/>
      <w:bookmarkEnd w:id="224"/>
      <w:bookmarkEnd w:id="225"/>
      <w:bookmarkEnd w:id="226"/>
    </w:p>
    <w:p>
      <w:pPr>
        <w:spacing w:before="156"/>
      </w:pPr>
      <w:r>
        <w:rPr>
          <w:rFonts w:hint="eastAsia"/>
        </w:rPr>
        <w:t>（1）山西省中部的交通枢纽和商贸物流基地；</w:t>
      </w:r>
    </w:p>
    <w:p>
      <w:pPr>
        <w:spacing w:before="156"/>
      </w:pPr>
      <w:r>
        <w:rPr>
          <w:rFonts w:hint="eastAsia"/>
        </w:rPr>
        <w:t>（2）山西省以煤机转化、先进装备制造为主的新兴产业基地；</w:t>
      </w:r>
    </w:p>
    <w:p>
      <w:pPr>
        <w:spacing w:before="156"/>
      </w:pPr>
      <w:r>
        <w:rPr>
          <w:rFonts w:hint="eastAsia"/>
        </w:rPr>
        <w:t>（3）山西省重要的高等教育、研发培训基地；</w:t>
      </w:r>
    </w:p>
    <w:p>
      <w:pPr>
        <w:spacing w:before="156"/>
      </w:pPr>
      <w:r>
        <w:rPr>
          <w:rFonts w:hint="eastAsia"/>
        </w:rPr>
        <w:t>（4）品质优良、文化底蕴深厚的宜居城市。</w:t>
      </w:r>
    </w:p>
    <w:p>
      <w:pPr>
        <w:pStyle w:val="3"/>
        <w:spacing w:before="156" w:after="156"/>
        <w:rPr>
          <w:rStyle w:val="52"/>
          <w:b w:val="0"/>
          <w:color w:val="auto"/>
          <w:u w:val="none"/>
        </w:rPr>
      </w:pPr>
      <w:bookmarkStart w:id="227" w:name="_Toc492850117"/>
      <w:bookmarkStart w:id="228" w:name="_Toc277459703"/>
      <w:bookmarkStart w:id="229" w:name="_Toc277460748"/>
      <w:bookmarkStart w:id="230" w:name="_Toc277460150"/>
      <w:bookmarkStart w:id="231" w:name="_Toc277460905"/>
      <w:bookmarkStart w:id="232" w:name="_Toc277460591"/>
      <w:r>
        <w:rPr>
          <w:rStyle w:val="52"/>
          <w:rFonts w:hint="eastAsia"/>
          <w:b w:val="0"/>
          <w:color w:val="auto"/>
          <w:u w:val="none"/>
        </w:rPr>
        <w:t>第二节 城市规模</w:t>
      </w:r>
      <w:bookmarkEnd w:id="227"/>
    </w:p>
    <w:p>
      <w:pPr>
        <w:pStyle w:val="4"/>
        <w:tabs>
          <w:tab w:val="left" w:pos="993"/>
          <w:tab w:val="clear" w:pos="1260"/>
        </w:tabs>
        <w:spacing w:before="312"/>
        <w:ind w:left="851" w:hanging="834"/>
      </w:pPr>
      <w:r>
        <w:rPr>
          <w:rFonts w:hint="eastAsia"/>
        </w:rPr>
        <w:t>人口规模</w:t>
      </w:r>
    </w:p>
    <w:p>
      <w:pPr>
        <w:spacing w:before="156"/>
      </w:pPr>
      <w:r>
        <w:rPr>
          <w:rFonts w:hint="eastAsia"/>
        </w:rPr>
        <w:t>规划</w:t>
      </w:r>
      <w:r>
        <w:t>2020</w:t>
      </w:r>
      <w:r>
        <w:rPr>
          <w:rFonts w:hint="eastAsia"/>
        </w:rPr>
        <w:t>年人口规模9</w:t>
      </w:r>
      <w:r>
        <w:t>5</w:t>
      </w:r>
      <w:r>
        <w:rPr>
          <w:rFonts w:hint="eastAsia"/>
        </w:rPr>
        <w:t>万人，</w:t>
      </w:r>
      <w:r>
        <w:t>2030</w:t>
      </w:r>
      <w:r>
        <w:rPr>
          <w:rFonts w:hint="eastAsia"/>
        </w:rPr>
        <w:t>年人口规模1</w:t>
      </w:r>
      <w:r>
        <w:t>32</w:t>
      </w:r>
      <w:r>
        <w:rPr>
          <w:rFonts w:hint="eastAsia"/>
        </w:rPr>
        <w:t>万人。</w:t>
      </w:r>
    </w:p>
    <w:p>
      <w:pPr>
        <w:pStyle w:val="4"/>
        <w:tabs>
          <w:tab w:val="left" w:pos="993"/>
          <w:tab w:val="clear" w:pos="1260"/>
        </w:tabs>
        <w:spacing w:before="312"/>
        <w:ind w:left="851" w:hanging="834"/>
      </w:pPr>
      <w:r>
        <w:rPr>
          <w:rFonts w:hint="eastAsia"/>
        </w:rPr>
        <w:t>用地规模</w:t>
      </w:r>
    </w:p>
    <w:p>
      <w:pPr>
        <w:spacing w:before="156"/>
      </w:pPr>
      <w:r>
        <w:rPr>
          <w:rFonts w:hint="eastAsia"/>
        </w:rPr>
        <w:t>规划人均建设用地按照</w:t>
      </w:r>
      <w:r>
        <w:t>105</w:t>
      </w:r>
      <w:r>
        <w:rPr>
          <w:rFonts w:hint="eastAsia"/>
        </w:rPr>
        <w:t>平方米控制。</w:t>
      </w:r>
    </w:p>
    <w:p>
      <w:pPr>
        <w:spacing w:before="156"/>
      </w:pPr>
      <w:r>
        <w:rPr>
          <w:rFonts w:hint="eastAsia"/>
          <w:b/>
          <w:u w:val="single"/>
        </w:rPr>
        <w:t>规划到</w:t>
      </w:r>
      <w:r>
        <w:rPr>
          <w:b/>
          <w:u w:val="single"/>
        </w:rPr>
        <w:t>2020</w:t>
      </w:r>
      <w:r>
        <w:rPr>
          <w:rFonts w:hint="eastAsia"/>
          <w:b/>
          <w:u w:val="single"/>
        </w:rPr>
        <w:t>年中心城区城市建设用地规模为</w:t>
      </w:r>
      <w:r>
        <w:rPr>
          <w:rFonts w:hint="eastAsia"/>
          <w:b/>
          <w:u w:val="single"/>
          <w:lang w:val="en-US" w:eastAsia="zh-CN"/>
        </w:rPr>
        <w:t>100</w:t>
      </w:r>
      <w:r>
        <w:rPr>
          <w:rFonts w:hint="eastAsia"/>
          <w:b/>
          <w:u w:val="single"/>
        </w:rPr>
        <w:t>平方公里，</w:t>
      </w:r>
      <w:r>
        <w:rPr>
          <w:b/>
          <w:u w:val="single"/>
        </w:rPr>
        <w:t>2030</w:t>
      </w:r>
      <w:r>
        <w:rPr>
          <w:rFonts w:hint="eastAsia"/>
          <w:b/>
          <w:u w:val="single"/>
        </w:rPr>
        <w:t>年为</w:t>
      </w:r>
      <w:r>
        <w:rPr>
          <w:b/>
          <w:u w:val="single"/>
        </w:rPr>
        <w:t>138.6</w:t>
      </w:r>
      <w:r>
        <w:rPr>
          <w:rFonts w:hint="eastAsia"/>
          <w:b/>
          <w:u w:val="single"/>
        </w:rPr>
        <w:t>平方公里。</w:t>
      </w:r>
    </w:p>
    <w:p>
      <w:pPr>
        <w:pStyle w:val="3"/>
        <w:spacing w:before="156" w:after="156"/>
        <w:rPr>
          <w:rStyle w:val="52"/>
          <w:b w:val="0"/>
          <w:color w:val="auto"/>
          <w:u w:val="none"/>
        </w:rPr>
      </w:pPr>
      <w:bookmarkStart w:id="233" w:name="_Toc492850118"/>
      <w:r>
        <w:rPr>
          <w:rStyle w:val="52"/>
          <w:rFonts w:hint="eastAsia"/>
          <w:b w:val="0"/>
          <w:color w:val="auto"/>
          <w:u w:val="none"/>
        </w:rPr>
        <w:t xml:space="preserve">第三节 </w:t>
      </w:r>
      <w:bookmarkEnd w:id="216"/>
      <w:bookmarkEnd w:id="217"/>
      <w:bookmarkEnd w:id="228"/>
      <w:bookmarkEnd w:id="229"/>
      <w:bookmarkEnd w:id="230"/>
      <w:bookmarkEnd w:id="231"/>
      <w:bookmarkEnd w:id="232"/>
      <w:r>
        <w:rPr>
          <w:rStyle w:val="52"/>
          <w:rFonts w:hint="eastAsia"/>
          <w:b w:val="0"/>
          <w:color w:val="auto"/>
          <w:u w:val="none"/>
        </w:rPr>
        <w:t>城市发展方向与空间布局结构</w:t>
      </w:r>
      <w:bookmarkEnd w:id="233"/>
    </w:p>
    <w:bookmarkEnd w:id="67"/>
    <w:bookmarkEnd w:id="68"/>
    <w:bookmarkEnd w:id="69"/>
    <w:bookmarkEnd w:id="70"/>
    <w:bookmarkEnd w:id="71"/>
    <w:p>
      <w:pPr>
        <w:pStyle w:val="4"/>
        <w:tabs>
          <w:tab w:val="left" w:pos="993"/>
          <w:tab w:val="clear" w:pos="1260"/>
        </w:tabs>
        <w:spacing w:before="312"/>
        <w:ind w:left="851" w:hanging="834"/>
      </w:pPr>
      <w:r>
        <w:rPr>
          <w:rFonts w:hint="eastAsia"/>
        </w:rPr>
        <w:t>城市发展方向</w:t>
      </w:r>
    </w:p>
    <w:p>
      <w:pPr>
        <w:spacing w:before="156"/>
        <w:rPr>
          <w:b/>
          <w:u w:val="single"/>
        </w:rPr>
      </w:pPr>
      <w:r>
        <w:rPr>
          <w:rFonts w:hint="eastAsia"/>
          <w:b/>
          <w:u w:val="single"/>
        </w:rPr>
        <w:t>城市用地以向西、向北发展为主，适度向南发展，控制向东发展。</w:t>
      </w:r>
    </w:p>
    <w:p>
      <w:pPr>
        <w:spacing w:before="156"/>
      </w:pPr>
      <w:r>
        <w:rPr>
          <w:rFonts w:hint="eastAsia"/>
        </w:rPr>
        <w:t>合理选择建设用地，应在下一层次规划编制或者项目选址</w:t>
      </w:r>
      <w:r>
        <w:t>前，</w:t>
      </w:r>
      <w:r>
        <w:rPr>
          <w:rFonts w:hint="eastAsia"/>
        </w:rPr>
        <w:t>进一步开展更为详细工程地质勘查工作，避免地质灾害对城市建设造成危害；对现状已经存在工程地质隐患的各类建设，应采取相应的工程防治措施，更新建设时，应予以避让。</w:t>
      </w:r>
    </w:p>
    <w:p>
      <w:pPr>
        <w:pStyle w:val="4"/>
        <w:tabs>
          <w:tab w:val="left" w:pos="993"/>
          <w:tab w:val="clear" w:pos="1260"/>
        </w:tabs>
        <w:spacing w:before="312"/>
        <w:ind w:left="851" w:hanging="834"/>
      </w:pPr>
      <w:r>
        <w:rPr>
          <w:rFonts w:hint="eastAsia"/>
        </w:rPr>
        <w:t>空间发展策略</w:t>
      </w:r>
    </w:p>
    <w:p>
      <w:pPr>
        <w:pStyle w:val="131"/>
        <w:spacing w:before="156"/>
        <w:ind w:left="960"/>
      </w:pPr>
      <w:r>
        <w:rPr>
          <w:rFonts w:hint="eastAsia"/>
        </w:rPr>
        <w:t>（1）推进太晋一体化，强化交界地区的融合发展与功能培育</w:t>
      </w:r>
    </w:p>
    <w:p>
      <w:pPr>
        <w:spacing w:before="156"/>
      </w:pPr>
      <w:r>
        <w:rPr>
          <w:rFonts w:hint="eastAsia"/>
        </w:rPr>
        <w:t>顺应一体化发展</w:t>
      </w:r>
      <w:r>
        <w:t>规律</w:t>
      </w:r>
      <w:r>
        <w:rPr>
          <w:rFonts w:hint="eastAsia"/>
        </w:rPr>
        <w:t>，加强太晋交界地区的功能空间培育；在城市西部结合大西客专晋中站的建设，大力发展相应的金融、商务办公、会展等区域性服务功能；在北部完善高校新校区，发展科技研发等功能。</w:t>
      </w:r>
    </w:p>
    <w:p>
      <w:pPr>
        <w:spacing w:before="156"/>
      </w:pPr>
      <w:r>
        <w:rPr>
          <w:rFonts w:hint="eastAsia"/>
        </w:rPr>
        <w:t>结合北六堡集装箱货场带来的白货聚集优势，加快物流业发展，建设服务全省的区域性的物流转运中心和货物贸易中心。</w:t>
      </w:r>
    </w:p>
    <w:p>
      <w:pPr>
        <w:pStyle w:val="131"/>
        <w:spacing w:before="156"/>
        <w:ind w:left="960"/>
      </w:pPr>
      <w:r>
        <w:rPr>
          <w:rFonts w:hint="eastAsia"/>
        </w:rPr>
        <w:t>（2</w:t>
      </w:r>
      <w:r>
        <w:t>）</w:t>
      </w:r>
      <w:r>
        <w:rPr>
          <w:rFonts w:hint="eastAsia"/>
        </w:rPr>
        <w:t>打造片区服务中心，完善基本公共服务设施，吸引人口迁移</w:t>
      </w:r>
    </w:p>
    <w:p>
      <w:pPr>
        <w:spacing w:before="156"/>
      </w:pPr>
      <w:r>
        <w:rPr>
          <w:rFonts w:hint="eastAsia"/>
        </w:rPr>
        <w:t>在城市</w:t>
      </w:r>
      <w:r>
        <w:t>西部和北部</w:t>
      </w:r>
      <w:r>
        <w:rPr>
          <w:rFonts w:hint="eastAsia"/>
        </w:rPr>
        <w:t>建设片区服务中心，重点包括教育</w:t>
      </w:r>
      <w:r>
        <w:t>、医疗、文化</w:t>
      </w:r>
      <w:r>
        <w:rPr>
          <w:rFonts w:hint="eastAsia"/>
        </w:rPr>
        <w:t>等基本公共服务设施，引导旧城人口向城市西部和北部转移</w:t>
      </w:r>
      <w:r>
        <w:t>。</w:t>
      </w:r>
    </w:p>
    <w:p>
      <w:pPr>
        <w:pStyle w:val="131"/>
        <w:spacing w:before="156"/>
        <w:ind w:left="960"/>
      </w:pPr>
      <w:r>
        <w:rPr>
          <w:rFonts w:hint="eastAsia"/>
        </w:rPr>
        <w:t>（3）整合</w:t>
      </w:r>
      <w:r>
        <w:t>工业布局，</w:t>
      </w:r>
      <w:r>
        <w:rPr>
          <w:rFonts w:hint="eastAsia"/>
        </w:rPr>
        <w:t>提升</w:t>
      </w:r>
      <w:r>
        <w:t>发展效率</w:t>
      </w:r>
    </w:p>
    <w:p>
      <w:pPr>
        <w:spacing w:before="156"/>
      </w:pPr>
      <w:r>
        <w:rPr>
          <w:rFonts w:hint="eastAsia"/>
        </w:rPr>
        <w:t>重点建设</w:t>
      </w:r>
      <w:r>
        <w:t>四大工业园区</w:t>
      </w:r>
      <w:r>
        <w:rPr>
          <w:rFonts w:hint="eastAsia"/>
        </w:rPr>
        <w:t>，零散工业用地逐步退二进三</w:t>
      </w:r>
      <w:r>
        <w:t>，</w:t>
      </w:r>
      <w:r>
        <w:rPr>
          <w:rFonts w:hint="eastAsia"/>
        </w:rPr>
        <w:t>改善城市环境，</w:t>
      </w:r>
      <w:r>
        <w:t>实现</w:t>
      </w:r>
      <w:r>
        <w:rPr>
          <w:rFonts w:hint="eastAsia"/>
        </w:rPr>
        <w:t>产业的</w:t>
      </w:r>
      <w:r>
        <w:t>规模</w:t>
      </w:r>
      <w:r>
        <w:rPr>
          <w:rFonts w:hint="eastAsia"/>
        </w:rPr>
        <w:t>集聚</w:t>
      </w:r>
      <w:r>
        <w:t>，提升效率。</w:t>
      </w:r>
    </w:p>
    <w:p>
      <w:pPr>
        <w:pStyle w:val="131"/>
        <w:spacing w:before="156"/>
        <w:ind w:left="960"/>
        <w:rPr>
          <w:rFonts w:ascii="宋体" w:hAnsi="宋体"/>
        </w:rPr>
      </w:pPr>
      <w:r>
        <w:rPr>
          <w:rFonts w:hint="eastAsia" w:ascii="宋体" w:hAnsi="宋体"/>
        </w:rPr>
        <w:t>（4）</w:t>
      </w:r>
      <w:r>
        <w:rPr>
          <w:rFonts w:hint="eastAsia"/>
        </w:rPr>
        <w:t>结合城市特色资源，构建特色空间</w:t>
      </w:r>
    </w:p>
    <w:p>
      <w:pPr>
        <w:spacing w:before="156"/>
      </w:pPr>
      <w:r>
        <w:rPr>
          <w:rFonts w:hint="eastAsia"/>
        </w:rPr>
        <w:t>在城市</w:t>
      </w:r>
      <w:r>
        <w:t>东南部</w:t>
      </w:r>
      <w:r>
        <w:rPr>
          <w:rFonts w:hint="eastAsia"/>
        </w:rPr>
        <w:t>依托榆次老城历史文化资源、东部缓丘山林资源和南部潇河生态景观资源，加强</w:t>
      </w:r>
      <w:r>
        <w:t>文化</w:t>
      </w:r>
      <w:r>
        <w:rPr>
          <w:rFonts w:hint="eastAsia"/>
        </w:rPr>
        <w:t>功能和以主题</w:t>
      </w:r>
      <w:r>
        <w:t>乐园</w:t>
      </w:r>
      <w:r>
        <w:rPr>
          <w:rFonts w:hint="eastAsia"/>
        </w:rPr>
        <w:t>为</w:t>
      </w:r>
      <w:r>
        <w:t>主的旅游功能</w:t>
      </w:r>
      <w:r>
        <w:rPr>
          <w:rFonts w:hint="eastAsia"/>
        </w:rPr>
        <w:t>培育</w:t>
      </w:r>
      <w:r>
        <w:t>，建设城市特色片区</w:t>
      </w:r>
      <w:r>
        <w:rPr>
          <w:rFonts w:hint="eastAsia"/>
        </w:rPr>
        <w:t>，提升老城活力。</w:t>
      </w:r>
    </w:p>
    <w:p>
      <w:pPr>
        <w:pStyle w:val="131"/>
        <w:spacing w:before="156"/>
        <w:ind w:left="960"/>
        <w:rPr>
          <w:rFonts w:ascii="宋体" w:hAnsi="宋体"/>
        </w:rPr>
      </w:pPr>
      <w:r>
        <w:rPr>
          <w:rFonts w:hint="eastAsia" w:ascii="宋体" w:hAnsi="宋体"/>
        </w:rPr>
        <w:t>（5）</w:t>
      </w:r>
      <w:r>
        <w:rPr>
          <w:rFonts w:hint="eastAsia"/>
        </w:rPr>
        <w:t>因地制宜，构建城市绿化网络，建设宜居</w:t>
      </w:r>
      <w:r>
        <w:t>空间</w:t>
      </w:r>
    </w:p>
    <w:p>
      <w:pPr>
        <w:spacing w:before="156"/>
      </w:pPr>
      <w:r>
        <w:rPr>
          <w:rFonts w:hint="eastAsia"/>
        </w:rPr>
        <w:t>落实上位规划要求，在潇河以北预留不低于3千米宽的绿化隔离带，积极发展生态农业，严禁城市建设开发。</w:t>
      </w:r>
    </w:p>
    <w:p>
      <w:pPr>
        <w:spacing w:before="156"/>
      </w:pPr>
      <w:r>
        <w:rPr>
          <w:rFonts w:hint="eastAsia"/>
        </w:rPr>
        <w:t>利用环城高速、过境铁路线、高压走廊等设施防护绿地构建绿地网络系统。</w:t>
      </w:r>
    </w:p>
    <w:p>
      <w:pPr>
        <w:spacing w:before="156"/>
      </w:pPr>
      <w:r>
        <w:rPr>
          <w:rFonts w:hint="eastAsia"/>
        </w:rPr>
        <w:t>结合农业空间、湿地公园以及郊野公园，打造沿潇河生态绿带。</w:t>
      </w:r>
    </w:p>
    <w:p>
      <w:pPr>
        <w:pStyle w:val="4"/>
        <w:tabs>
          <w:tab w:val="left" w:pos="993"/>
          <w:tab w:val="clear" w:pos="1260"/>
        </w:tabs>
        <w:spacing w:before="312"/>
        <w:ind w:left="851" w:hanging="834"/>
      </w:pPr>
      <w:r>
        <w:rPr>
          <w:rFonts w:hint="eastAsia"/>
        </w:rPr>
        <w:t>空间布局结构</w:t>
      </w:r>
    </w:p>
    <w:p>
      <w:pPr>
        <w:spacing w:before="156"/>
      </w:pPr>
      <w:r>
        <w:rPr>
          <w:rFonts w:hint="eastAsia"/>
        </w:rPr>
        <w:t>构建“一带两轴，三片一组团”的城市空间结构。</w:t>
      </w:r>
    </w:p>
    <w:p>
      <w:pPr>
        <w:spacing w:before="156"/>
      </w:pPr>
      <w:r>
        <w:rPr>
          <w:rFonts w:hint="eastAsia"/>
        </w:rPr>
        <w:t>“一带”指在太晋交界地区积极培育的区域服务功能带。</w:t>
      </w:r>
    </w:p>
    <w:p>
      <w:pPr>
        <w:spacing w:before="156"/>
      </w:pPr>
      <w:r>
        <w:rPr>
          <w:rFonts w:hint="eastAsia"/>
        </w:rPr>
        <w:t>“两轴”指顺应区域功能的发展，主要依托中都路、迎宾街建设城市公共中心，形成引导城市向西向北发展的空间轴线。</w:t>
      </w:r>
    </w:p>
    <w:p>
      <w:pPr>
        <w:spacing w:before="156"/>
      </w:pPr>
      <w:r>
        <w:rPr>
          <w:rFonts w:hint="eastAsia"/>
        </w:rPr>
        <w:t>“三片”指以南同蒲铁路为界分为东西两个片区以及</w:t>
      </w:r>
      <w:r>
        <w:t>东南</w:t>
      </w:r>
      <w:r>
        <w:rPr>
          <w:rFonts w:hint="eastAsia"/>
        </w:rPr>
        <w:t>文化</w:t>
      </w:r>
      <w:r>
        <w:t>旅游片区</w:t>
      </w:r>
      <w:r>
        <w:rPr>
          <w:rFonts w:hint="eastAsia"/>
        </w:rPr>
        <w:t>。</w:t>
      </w:r>
    </w:p>
    <w:p>
      <w:pPr>
        <w:spacing w:before="156"/>
      </w:pPr>
      <w:r>
        <w:rPr>
          <w:rFonts w:hint="eastAsia"/>
        </w:rPr>
        <w:t>“一组团”指山西转型综改示范区潇河产业园区晋中起步区组团（以下简称潇河起步区组团）。</w:t>
      </w:r>
    </w:p>
    <w:p>
      <w:pPr>
        <w:pStyle w:val="3"/>
        <w:spacing w:before="156" w:after="156"/>
      </w:pPr>
      <w:bookmarkStart w:id="234" w:name="_Toc492850119"/>
      <w:r>
        <w:rPr>
          <w:rStyle w:val="52"/>
          <w:rFonts w:hint="eastAsia"/>
          <w:b w:val="0"/>
          <w:color w:val="auto"/>
          <w:u w:val="none"/>
        </w:rPr>
        <w:t>第四节 居住用地规划与住房保障</w:t>
      </w:r>
      <w:bookmarkEnd w:id="234"/>
    </w:p>
    <w:p>
      <w:pPr>
        <w:pStyle w:val="4"/>
        <w:tabs>
          <w:tab w:val="left" w:pos="993"/>
          <w:tab w:val="clear" w:pos="1260"/>
        </w:tabs>
        <w:spacing w:before="312"/>
        <w:ind w:left="851" w:hanging="834"/>
      </w:pPr>
      <w:bookmarkStart w:id="235" w:name="_Toc277460597"/>
      <w:bookmarkStart w:id="236" w:name="_Toc277460911"/>
      <w:bookmarkStart w:id="237" w:name="_Toc277460754"/>
      <w:bookmarkStart w:id="238" w:name="_Toc275418514"/>
      <w:r>
        <w:rPr>
          <w:rFonts w:hint="eastAsia"/>
        </w:rPr>
        <w:t>居住用地规模</w:t>
      </w:r>
      <w:bookmarkEnd w:id="235"/>
      <w:bookmarkEnd w:id="236"/>
      <w:bookmarkEnd w:id="237"/>
      <w:bookmarkEnd w:id="238"/>
    </w:p>
    <w:p>
      <w:pPr>
        <w:spacing w:before="156"/>
      </w:pPr>
      <w:r>
        <w:rPr>
          <w:rFonts w:hint="eastAsia" w:ascii="宋体" w:hAnsi="宋体"/>
          <w:szCs w:val="22"/>
        </w:rPr>
        <w:t>规划到</w:t>
      </w:r>
      <w:r>
        <w:rPr>
          <w:rFonts w:hint="default" w:ascii="Times New Roman" w:hAnsi="Times New Roman" w:cs="Times New Roman"/>
          <w:szCs w:val="22"/>
        </w:rPr>
        <w:t>2030</w:t>
      </w:r>
      <w:r>
        <w:rPr>
          <w:rFonts w:hint="eastAsia" w:ascii="宋体" w:hAnsi="宋体"/>
          <w:szCs w:val="22"/>
        </w:rPr>
        <w:t>年，居住用地为</w:t>
      </w:r>
      <w:r>
        <w:t>3992.22</w:t>
      </w:r>
      <w:r>
        <w:rPr>
          <w:rFonts w:hint="eastAsia" w:ascii="宋体" w:hAnsi="宋体"/>
          <w:szCs w:val="22"/>
        </w:rPr>
        <w:t>万平方米；人均居住用地</w:t>
      </w:r>
      <w:r>
        <w:rPr>
          <w:rFonts w:hint="default" w:ascii="Times New Roman" w:hAnsi="Times New Roman" w:cs="Times New Roman"/>
          <w:szCs w:val="22"/>
        </w:rPr>
        <w:t>30.24</w:t>
      </w:r>
      <w:r>
        <w:rPr>
          <w:rFonts w:hint="eastAsia" w:ascii="宋体" w:hAnsi="宋体"/>
          <w:szCs w:val="22"/>
        </w:rPr>
        <w:t>平方米。</w:t>
      </w:r>
    </w:p>
    <w:p>
      <w:pPr>
        <w:pStyle w:val="4"/>
        <w:tabs>
          <w:tab w:val="left" w:pos="993"/>
          <w:tab w:val="clear" w:pos="1260"/>
        </w:tabs>
        <w:spacing w:before="312"/>
        <w:ind w:left="851" w:hanging="834"/>
      </w:pPr>
      <w:bookmarkStart w:id="239" w:name="_Toc277460598"/>
      <w:bookmarkStart w:id="240" w:name="_Toc277460755"/>
      <w:bookmarkStart w:id="241" w:name="_Toc277460912"/>
      <w:r>
        <w:rPr>
          <w:rFonts w:hint="eastAsia"/>
        </w:rPr>
        <w:t>居住用地布局</w:t>
      </w:r>
      <w:bookmarkEnd w:id="239"/>
      <w:bookmarkEnd w:id="240"/>
      <w:bookmarkEnd w:id="241"/>
    </w:p>
    <w:p>
      <w:pPr>
        <w:spacing w:before="156"/>
        <w:rPr>
          <w:rFonts w:ascii="宋体" w:hAnsi="宋体"/>
          <w:szCs w:val="22"/>
        </w:rPr>
      </w:pPr>
      <w:r>
        <w:rPr>
          <w:rFonts w:hint="eastAsia" w:ascii="宋体" w:hAnsi="宋体"/>
          <w:szCs w:val="22"/>
        </w:rPr>
        <w:t>规划形成</w:t>
      </w:r>
      <w:r>
        <w:rPr>
          <w:rFonts w:hint="default" w:ascii="Times New Roman" w:hAnsi="Times New Roman" w:cs="Times New Roman"/>
          <w:szCs w:val="22"/>
        </w:rPr>
        <w:t>8</w:t>
      </w:r>
      <w:r>
        <w:rPr>
          <w:rFonts w:hint="eastAsia" w:ascii="宋体" w:hAnsi="宋体"/>
          <w:szCs w:val="22"/>
        </w:rPr>
        <w:t>个较集中的居住片区和</w:t>
      </w:r>
      <w:r>
        <w:rPr>
          <w:rFonts w:hint="default" w:ascii="Times New Roman" w:hAnsi="Times New Roman" w:cs="Times New Roman"/>
          <w:szCs w:val="22"/>
        </w:rPr>
        <w:t>7</w:t>
      </w:r>
      <w:r>
        <w:rPr>
          <w:rFonts w:hint="eastAsia" w:ascii="宋体" w:hAnsi="宋体"/>
          <w:szCs w:val="22"/>
        </w:rPr>
        <w:t>个独立分布的居住区。</w:t>
      </w:r>
      <w:r>
        <w:rPr>
          <w:rFonts w:hint="default" w:ascii="Times New Roman" w:hAnsi="Times New Roman" w:cs="Times New Roman"/>
          <w:szCs w:val="22"/>
        </w:rPr>
        <w:t>8</w:t>
      </w:r>
      <w:r>
        <w:rPr>
          <w:rFonts w:hint="eastAsia" w:ascii="宋体" w:hAnsi="宋体"/>
          <w:szCs w:val="22"/>
        </w:rPr>
        <w:t>个居住片区分别为：老城片区、铁北片区、北部新城片区、铁西片区、高教片区、站前片区、城南片区、科技城片区，</w:t>
      </w:r>
      <w:r>
        <w:rPr>
          <w:rFonts w:hint="default" w:ascii="Times New Roman" w:hAnsi="Times New Roman" w:cs="Times New Roman"/>
          <w:szCs w:val="22"/>
        </w:rPr>
        <w:t>7</w:t>
      </w:r>
      <w:r>
        <w:rPr>
          <w:rFonts w:hint="eastAsia" w:ascii="宋体" w:hAnsi="宋体"/>
          <w:szCs w:val="22"/>
        </w:rPr>
        <w:t>个独立的居住区为寇村居住区、</w:t>
      </w:r>
      <w:r>
        <w:rPr>
          <w:rFonts w:hint="eastAsia"/>
        </w:rPr>
        <w:t>马村居住区、西</w:t>
      </w:r>
      <w:r>
        <w:t>长寿居住区</w:t>
      </w:r>
      <w:r>
        <w:rPr>
          <w:rFonts w:hint="eastAsia"/>
        </w:rPr>
        <w:t>、褚村居住区、修文居住区、小伽南居住区、小赵</w:t>
      </w:r>
      <w:r>
        <w:t>居住区</w:t>
      </w:r>
      <w:r>
        <w:rPr>
          <w:rFonts w:hint="eastAsia"/>
        </w:rPr>
        <w:t>。</w:t>
      </w:r>
    </w:p>
    <w:p>
      <w:pPr>
        <w:spacing w:before="156"/>
        <w:rPr>
          <w:rFonts w:ascii="宋体" w:hAnsi="宋体"/>
          <w:szCs w:val="22"/>
        </w:rPr>
      </w:pPr>
      <w:r>
        <w:rPr>
          <w:rFonts w:hint="eastAsia" w:ascii="宋体" w:hAnsi="宋体"/>
          <w:szCs w:val="22"/>
        </w:rPr>
        <w:t>新建居住区绿地率应不低于</w:t>
      </w:r>
      <w:r>
        <w:rPr>
          <w:rFonts w:hint="default" w:ascii="Times New Roman" w:hAnsi="Times New Roman" w:cs="Times New Roman"/>
          <w:szCs w:val="22"/>
        </w:rPr>
        <w:t>30%</w:t>
      </w:r>
      <w:r>
        <w:rPr>
          <w:rFonts w:hint="eastAsia" w:ascii="宋体" w:hAnsi="宋体"/>
          <w:szCs w:val="22"/>
        </w:rPr>
        <w:t>，旧区改建绿地率不低于</w:t>
      </w:r>
      <w:r>
        <w:rPr>
          <w:rFonts w:hint="default" w:ascii="Times New Roman" w:hAnsi="Times New Roman" w:cs="Times New Roman"/>
          <w:szCs w:val="22"/>
        </w:rPr>
        <w:t>25%</w:t>
      </w:r>
      <w:r>
        <w:rPr>
          <w:rFonts w:hint="eastAsia" w:ascii="宋体" w:hAnsi="宋体"/>
          <w:szCs w:val="22"/>
        </w:rPr>
        <w:t>。</w:t>
      </w:r>
    </w:p>
    <w:p>
      <w:pPr>
        <w:pStyle w:val="4"/>
        <w:tabs>
          <w:tab w:val="left" w:pos="993"/>
          <w:tab w:val="clear" w:pos="1260"/>
        </w:tabs>
        <w:spacing w:before="312"/>
        <w:ind w:left="851" w:hanging="834"/>
      </w:pPr>
      <w:r>
        <w:rPr>
          <w:rFonts w:hint="eastAsia"/>
        </w:rPr>
        <w:t>保障性住房供给</w:t>
      </w:r>
    </w:p>
    <w:p>
      <w:pPr>
        <w:spacing w:before="156"/>
      </w:pPr>
      <w:r>
        <w:rPr>
          <w:rFonts w:hint="eastAsia" w:ascii="Calibri" w:hAnsi="Calibri"/>
          <w:szCs w:val="22"/>
        </w:rPr>
        <w:t>中心城区至</w:t>
      </w:r>
      <w:r>
        <w:rPr>
          <w:rFonts w:hint="default" w:ascii="Times New Roman" w:hAnsi="Times New Roman" w:cs="Times New Roman"/>
          <w:szCs w:val="22"/>
        </w:rPr>
        <w:t>2017</w:t>
      </w:r>
      <w:r>
        <w:rPr>
          <w:rFonts w:ascii="Calibri" w:hAnsi="Calibri"/>
          <w:szCs w:val="22"/>
        </w:rPr>
        <w:t>年完成包括城中村在内的棚户区</w:t>
      </w:r>
      <w:r>
        <w:rPr>
          <w:rFonts w:hint="default" w:ascii="Times New Roman" w:hAnsi="Times New Roman" w:cs="Times New Roman"/>
          <w:szCs w:val="22"/>
        </w:rPr>
        <w:t>23140</w:t>
      </w:r>
      <w:r>
        <w:rPr>
          <w:rFonts w:ascii="Calibri" w:hAnsi="Calibri"/>
          <w:szCs w:val="22"/>
        </w:rPr>
        <w:t>套</w:t>
      </w:r>
      <w:r>
        <w:rPr>
          <w:rFonts w:hint="eastAsia"/>
        </w:rPr>
        <w:t>；至</w:t>
      </w:r>
      <w:r>
        <w:t>2030</w:t>
      </w:r>
      <w:r>
        <w:rPr>
          <w:rFonts w:hint="eastAsia"/>
        </w:rPr>
        <w:t>年，应基本建立起全面、科学的住房保障体系。其中公共租赁住房套型建筑面积控制在60平方米以内；廉租房套型建筑面积控制在</w:t>
      </w:r>
      <w:r>
        <w:t>50</w:t>
      </w:r>
      <w:r>
        <w:rPr>
          <w:rFonts w:hint="eastAsia"/>
        </w:rPr>
        <w:t>平方米以内。</w:t>
      </w:r>
    </w:p>
    <w:p>
      <w:pPr>
        <w:pStyle w:val="3"/>
        <w:spacing w:before="156" w:after="156"/>
        <w:rPr>
          <w:rStyle w:val="52"/>
          <w:b w:val="0"/>
          <w:color w:val="auto"/>
          <w:u w:val="none"/>
        </w:rPr>
      </w:pPr>
      <w:bookmarkStart w:id="242" w:name="_Toc492850120"/>
      <w:r>
        <w:rPr>
          <w:rStyle w:val="52"/>
          <w:rFonts w:hint="eastAsia"/>
          <w:b w:val="0"/>
          <w:color w:val="auto"/>
          <w:u w:val="none"/>
        </w:rPr>
        <w:t>第五节 公共设施用地规划</w:t>
      </w:r>
      <w:bookmarkEnd w:id="242"/>
    </w:p>
    <w:p>
      <w:pPr>
        <w:pStyle w:val="4"/>
        <w:tabs>
          <w:tab w:val="left" w:pos="993"/>
          <w:tab w:val="clear" w:pos="1260"/>
        </w:tabs>
        <w:spacing w:before="312"/>
        <w:ind w:left="851" w:hanging="834"/>
      </w:pPr>
      <w:r>
        <w:rPr>
          <w:rFonts w:hint="eastAsia"/>
        </w:rPr>
        <w:t>公共服务中心体系</w:t>
      </w:r>
    </w:p>
    <w:p>
      <w:pPr>
        <w:spacing w:before="156"/>
      </w:pPr>
      <w:r>
        <w:rPr>
          <w:rFonts w:hint="eastAsia"/>
        </w:rPr>
        <w:t>中心城区中心按照主中心、副中心和片区中心三级体系进行布局。</w:t>
      </w:r>
    </w:p>
    <w:p>
      <w:pPr>
        <w:spacing w:before="156"/>
      </w:pPr>
      <w:r>
        <w:rPr>
          <w:rFonts w:hint="eastAsia"/>
        </w:rPr>
        <w:t>主中心：为旧城中心，位于榆次老城北侧，在现状城市中心区的基础上，规划沿中都路呈带状分布，东西以府兴路北沿线和花园路北沿线为界；南北以顺城街和迎宾街为界的区域，规模约2平方公里。包括金融、文化娱乐、邮政、信息、旅游、大型商业零售等功能。</w:t>
      </w:r>
    </w:p>
    <w:p>
      <w:pPr>
        <w:spacing w:before="156"/>
      </w:pPr>
      <w:r>
        <w:rPr>
          <w:rFonts w:hint="eastAsia"/>
        </w:rPr>
        <w:t>北部新区副中心：位于城市北部，东西以新建北路与龙田路为界，南北以龙湖街和汇阜街为界，规模约2平方公里。以城市行政、商务办公、文化娱乐和商业等功能为主。</w:t>
      </w:r>
    </w:p>
    <w:p>
      <w:pPr>
        <w:spacing w:before="156"/>
      </w:pPr>
      <w:r>
        <w:rPr>
          <w:rFonts w:hint="eastAsia"/>
        </w:rPr>
        <w:t>晋中站前副中心：主要位于规划晋中站东南侧，是城市西部片区的综合服务中心，东西以综合通道、大西客专为界，南北以新生街、蕴华西街为界，规模约1.5平方公里。主要建设服务于全市域乃至太原盆地城镇密集区的商贸、商务、展览等职能，同时兼顾为城区西部地区提供相应公共服务。</w:t>
      </w:r>
    </w:p>
    <w:p>
      <w:pPr>
        <w:spacing w:before="156"/>
      </w:pPr>
      <w:r>
        <w:rPr>
          <w:rFonts w:hint="eastAsia"/>
        </w:rPr>
        <w:t>片区中心：根据中心城区人口的分布，规划建设五个片区中心，主要集中布置片区级公共服务设施。分别布局在北魏榆路与文津街交叉口西北地区、玉湖北路与大学街交叉口东北地区、迎宾西街与箕城路交口以西地区、韩荣路与顺城西街交口地区、液东路与建业街交叉口以南地区、东长寿</w:t>
      </w:r>
      <w:r>
        <w:t>街与</w:t>
      </w:r>
      <w:r>
        <w:rPr>
          <w:rFonts w:hint="eastAsia"/>
        </w:rPr>
        <w:t>环城</w:t>
      </w:r>
      <w:r>
        <w:t>西路交口地区</w:t>
      </w:r>
      <w:r>
        <w:rPr>
          <w:rFonts w:hint="eastAsia"/>
        </w:rPr>
        <w:t>，怀</w:t>
      </w:r>
      <w:r>
        <w:t>仁东路</w:t>
      </w:r>
      <w:r>
        <w:rPr>
          <w:rFonts w:hint="eastAsia"/>
        </w:rPr>
        <w:t>与</w:t>
      </w:r>
      <w:r>
        <w:t>铁西路交口</w:t>
      </w:r>
      <w:r>
        <w:rPr>
          <w:rFonts w:hint="eastAsia"/>
        </w:rPr>
        <w:t>地区。</w:t>
      </w:r>
    </w:p>
    <w:p>
      <w:pPr>
        <w:pStyle w:val="4"/>
        <w:tabs>
          <w:tab w:val="left" w:pos="993"/>
          <w:tab w:val="clear" w:pos="1260"/>
        </w:tabs>
        <w:spacing w:before="312"/>
        <w:ind w:left="851" w:hanging="834"/>
      </w:pPr>
      <w:r>
        <w:rPr>
          <w:rFonts w:hint="eastAsia"/>
        </w:rPr>
        <w:t>公共管理与公共服务设施用地规划</w:t>
      </w:r>
    </w:p>
    <w:p>
      <w:pPr>
        <w:pStyle w:val="131"/>
        <w:spacing w:before="156"/>
        <w:ind w:left="960"/>
      </w:pPr>
      <w:r>
        <w:rPr>
          <w:rFonts w:hint="eastAsia"/>
        </w:rPr>
        <w:t>（</w:t>
      </w:r>
      <w:r>
        <w:t>1</w:t>
      </w:r>
      <w:r>
        <w:rPr>
          <w:rFonts w:hint="eastAsia"/>
        </w:rPr>
        <w:t>）行政办公用地</w:t>
      </w:r>
    </w:p>
    <w:p>
      <w:pPr>
        <w:spacing w:before="156"/>
        <w:rPr>
          <w:color w:val="auto"/>
        </w:rPr>
      </w:pPr>
      <w:r>
        <w:rPr>
          <w:rFonts w:hint="eastAsia"/>
          <w:color w:val="auto"/>
        </w:rPr>
        <w:t>规划行政办公用地</w:t>
      </w:r>
      <w:r>
        <w:rPr>
          <w:rFonts w:hint="eastAsia"/>
          <w:color w:val="auto"/>
          <w:lang w:val="en-US" w:eastAsia="zh-CN"/>
        </w:rPr>
        <w:t>108.23</w:t>
      </w:r>
      <w:r>
        <w:rPr>
          <w:rFonts w:hint="eastAsia"/>
          <w:color w:val="auto"/>
        </w:rPr>
        <w:t>万平方米，人均</w:t>
      </w:r>
      <w:r>
        <w:rPr>
          <w:rFonts w:hint="eastAsia"/>
          <w:color w:val="auto"/>
          <w:lang w:val="en-US" w:eastAsia="zh-CN"/>
        </w:rPr>
        <w:t>0.82</w:t>
      </w:r>
      <w:r>
        <w:rPr>
          <w:rFonts w:hint="eastAsia"/>
          <w:color w:val="auto"/>
        </w:rPr>
        <w:t>平方米</w:t>
      </w:r>
      <w:r>
        <w:rPr>
          <w:rFonts w:hint="eastAsia" w:ascii="宋体" w:hAnsi="宋体"/>
          <w:color w:val="auto"/>
        </w:rPr>
        <w:t>。</w:t>
      </w:r>
    </w:p>
    <w:p>
      <w:pPr>
        <w:pStyle w:val="131"/>
        <w:spacing w:before="156"/>
        <w:ind w:left="960"/>
      </w:pPr>
      <w:r>
        <w:rPr>
          <w:rFonts w:hint="eastAsia"/>
        </w:rPr>
        <w:t>（</w:t>
      </w:r>
      <w:r>
        <w:t>2</w:t>
      </w:r>
      <w:r>
        <w:rPr>
          <w:rFonts w:hint="eastAsia"/>
        </w:rPr>
        <w:t>）文化设施用地</w:t>
      </w:r>
    </w:p>
    <w:p>
      <w:pPr>
        <w:spacing w:before="156"/>
        <w:rPr>
          <w:b/>
          <w:u w:val="single"/>
        </w:rPr>
      </w:pPr>
      <w:r>
        <w:rPr>
          <w:rFonts w:hint="eastAsia"/>
          <w:b/>
          <w:u w:val="single"/>
        </w:rPr>
        <w:t>规划文化娱乐用地106.39万平方米。人均用地0.81平方米。</w:t>
      </w:r>
    </w:p>
    <w:p>
      <w:pPr>
        <w:spacing w:before="156"/>
        <w:rPr>
          <w:b/>
          <w:u w:val="single"/>
        </w:rPr>
      </w:pPr>
      <w:r>
        <w:rPr>
          <w:rFonts w:hint="eastAsia"/>
          <w:b/>
          <w:u w:val="single"/>
        </w:rPr>
        <w:t>在北部新城规划市级文化中心，布局在广安路与定阳路交口地区，以服务于市民的规划展览馆、文化中心、科技馆、美术馆等为主。</w:t>
      </w:r>
    </w:p>
    <w:p>
      <w:pPr>
        <w:spacing w:before="156"/>
      </w:pPr>
      <w:r>
        <w:rPr>
          <w:rFonts w:hint="eastAsia"/>
        </w:rPr>
        <w:t>在各片区中心相对集中布置片区级文化设施，建设包括图书、影视、青少年活动等在内的综合性文化活动中心。</w:t>
      </w:r>
    </w:p>
    <w:p>
      <w:pPr>
        <w:pStyle w:val="131"/>
        <w:spacing w:before="156"/>
        <w:ind w:left="960"/>
      </w:pPr>
      <w:r>
        <w:rPr>
          <w:rFonts w:hint="eastAsia"/>
        </w:rPr>
        <w:t>（</w:t>
      </w:r>
      <w:r>
        <w:t>3</w:t>
      </w:r>
      <w:r>
        <w:rPr>
          <w:rFonts w:hint="eastAsia"/>
        </w:rPr>
        <w:t>）教育科研用地</w:t>
      </w:r>
    </w:p>
    <w:p>
      <w:pPr>
        <w:spacing w:before="156"/>
        <w:rPr>
          <w:b/>
          <w:u w:val="single"/>
        </w:rPr>
      </w:pPr>
      <w:r>
        <w:rPr>
          <w:rFonts w:hint="eastAsia"/>
          <w:b/>
          <w:u w:val="single"/>
        </w:rPr>
        <w:t>规划教育科研用地</w:t>
      </w:r>
      <w:r>
        <w:rPr>
          <w:rFonts w:asciiTheme="minorEastAsia" w:hAnsiTheme="minorEastAsia" w:eastAsiaTheme="minorEastAsia"/>
          <w:b/>
          <w:kern w:val="0"/>
          <w:u w:val="single"/>
        </w:rPr>
        <w:t>1325.97</w:t>
      </w:r>
      <w:r>
        <w:rPr>
          <w:rFonts w:hint="eastAsia"/>
          <w:b/>
          <w:u w:val="single"/>
        </w:rPr>
        <w:t>万平方米，人均</w:t>
      </w:r>
      <w:r>
        <w:rPr>
          <w:rFonts w:asciiTheme="minorEastAsia" w:hAnsiTheme="minorEastAsia" w:eastAsiaTheme="minorEastAsia"/>
          <w:b/>
          <w:kern w:val="0"/>
          <w:u w:val="single"/>
        </w:rPr>
        <w:t>10</w:t>
      </w:r>
      <w:r>
        <w:rPr>
          <w:rFonts w:hint="eastAsia" w:asciiTheme="minorEastAsia" w:hAnsiTheme="minorEastAsia" w:eastAsiaTheme="minorEastAsia"/>
          <w:b/>
          <w:kern w:val="0"/>
          <w:u w:val="single"/>
        </w:rPr>
        <w:t>.</w:t>
      </w:r>
      <w:r>
        <w:rPr>
          <w:rFonts w:asciiTheme="minorEastAsia" w:hAnsiTheme="minorEastAsia" w:eastAsiaTheme="minorEastAsia"/>
          <w:b/>
          <w:kern w:val="0"/>
          <w:u w:val="single"/>
        </w:rPr>
        <w:t xml:space="preserve">05 </w:t>
      </w:r>
      <w:r>
        <w:rPr>
          <w:rFonts w:hint="eastAsia"/>
          <w:b/>
          <w:u w:val="single"/>
        </w:rPr>
        <w:t>平方米。</w:t>
      </w:r>
    </w:p>
    <w:p>
      <w:pPr>
        <w:spacing w:before="156"/>
      </w:pPr>
      <w:r>
        <w:rPr>
          <w:rFonts w:hint="eastAsia"/>
        </w:rPr>
        <w:t>在文华街以北建设高校新校区，并依托高校新校区在其南部建设科技研发中心。</w:t>
      </w:r>
    </w:p>
    <w:p>
      <w:pPr>
        <w:spacing w:before="156"/>
        <w:rPr>
          <w:b/>
          <w:u w:val="single"/>
        </w:rPr>
      </w:pPr>
      <w:r>
        <w:rPr>
          <w:rFonts w:hint="eastAsia"/>
          <w:b/>
          <w:u w:val="single"/>
        </w:rPr>
        <w:t>中小学布点规划按照《晋中市城区教育设施专项规划》，在分区规划和控制性详细规划予以落实，并符合国家居住区规范的相关配套要求。</w:t>
      </w:r>
    </w:p>
    <w:p>
      <w:pPr>
        <w:pStyle w:val="131"/>
        <w:spacing w:before="156"/>
        <w:ind w:left="960"/>
      </w:pPr>
      <w:r>
        <w:rPr>
          <w:rFonts w:hint="eastAsia"/>
        </w:rPr>
        <w:t>（</w:t>
      </w:r>
      <w:r>
        <w:t>4</w:t>
      </w:r>
      <w:r>
        <w:rPr>
          <w:rFonts w:hint="eastAsia"/>
        </w:rPr>
        <w:t>）体育用地</w:t>
      </w:r>
    </w:p>
    <w:p>
      <w:pPr>
        <w:spacing w:before="156"/>
        <w:rPr>
          <w:b/>
          <w:u w:val="single"/>
        </w:rPr>
      </w:pPr>
      <w:r>
        <w:rPr>
          <w:rFonts w:hint="eastAsia"/>
          <w:b/>
          <w:u w:val="single"/>
        </w:rPr>
        <w:t>规划体育用地</w:t>
      </w:r>
      <w:r>
        <w:rPr>
          <w:rFonts w:asciiTheme="minorEastAsia" w:hAnsiTheme="minorEastAsia" w:eastAsiaTheme="minorEastAsia"/>
          <w:b/>
          <w:kern w:val="0"/>
          <w:u w:val="single"/>
        </w:rPr>
        <w:t>81.99</w:t>
      </w:r>
      <w:r>
        <w:rPr>
          <w:rFonts w:hint="eastAsia"/>
          <w:b/>
          <w:u w:val="single"/>
        </w:rPr>
        <w:t>万平方米，人均</w:t>
      </w:r>
      <w:r>
        <w:rPr>
          <w:rFonts w:asciiTheme="minorEastAsia" w:hAnsiTheme="minorEastAsia" w:eastAsiaTheme="minorEastAsia"/>
          <w:b/>
          <w:kern w:val="0"/>
          <w:u w:val="single"/>
        </w:rPr>
        <w:t>0.62</w:t>
      </w:r>
      <w:r>
        <w:rPr>
          <w:rFonts w:hint="eastAsia"/>
          <w:b/>
          <w:u w:val="single"/>
        </w:rPr>
        <w:t>平方米。</w:t>
      </w:r>
    </w:p>
    <w:p>
      <w:pPr>
        <w:spacing w:before="156"/>
        <w:rPr>
          <w:b/>
          <w:u w:val="single"/>
        </w:rPr>
      </w:pPr>
      <w:r>
        <w:rPr>
          <w:rFonts w:hint="eastAsia"/>
          <w:b/>
          <w:u w:val="single"/>
        </w:rPr>
        <w:t>保留现状环城东路与安宁街交叉口西北角的市级体育中心，规模为29.25公顷。在综合通道</w:t>
      </w:r>
      <w:r>
        <w:rPr>
          <w:b/>
          <w:u w:val="single"/>
        </w:rPr>
        <w:t>-</w:t>
      </w:r>
      <w:r>
        <w:rPr>
          <w:rFonts w:hint="eastAsia"/>
          <w:b/>
          <w:u w:val="single"/>
        </w:rPr>
        <w:t>蕴华西街交叉口东北角新建城西体育中心，作为区级体育中心，规模为10公顷。</w:t>
      </w:r>
    </w:p>
    <w:p>
      <w:pPr>
        <w:pStyle w:val="131"/>
        <w:spacing w:before="156"/>
        <w:ind w:left="960"/>
      </w:pPr>
      <w:r>
        <w:rPr>
          <w:rFonts w:hint="eastAsia"/>
        </w:rPr>
        <w:t>（</w:t>
      </w:r>
      <w:r>
        <w:t>5</w:t>
      </w:r>
      <w:r>
        <w:rPr>
          <w:rFonts w:hint="eastAsia"/>
        </w:rPr>
        <w:t>）医疗卫生用地</w:t>
      </w:r>
    </w:p>
    <w:p>
      <w:pPr>
        <w:spacing w:before="156"/>
        <w:rPr>
          <w:b/>
          <w:u w:val="single"/>
        </w:rPr>
      </w:pPr>
      <w:r>
        <w:rPr>
          <w:rFonts w:hint="eastAsia"/>
          <w:b/>
          <w:u w:val="single"/>
        </w:rPr>
        <w:t>规划医疗卫生用地</w:t>
      </w:r>
      <w:r>
        <w:rPr>
          <w:rFonts w:asciiTheme="minorEastAsia" w:hAnsiTheme="minorEastAsia" w:eastAsiaTheme="minorEastAsia"/>
          <w:b/>
          <w:kern w:val="0"/>
          <w:u w:val="single"/>
        </w:rPr>
        <w:t>131</w:t>
      </w:r>
      <w:r>
        <w:rPr>
          <w:rFonts w:hint="eastAsia" w:asciiTheme="minorEastAsia" w:hAnsiTheme="minorEastAsia" w:eastAsiaTheme="minorEastAsia"/>
          <w:b/>
          <w:kern w:val="0"/>
          <w:u w:val="single"/>
        </w:rPr>
        <w:t>.</w:t>
      </w:r>
      <w:r>
        <w:rPr>
          <w:rFonts w:asciiTheme="minorEastAsia" w:hAnsiTheme="minorEastAsia" w:eastAsiaTheme="minorEastAsia"/>
          <w:b/>
          <w:kern w:val="0"/>
          <w:u w:val="single"/>
        </w:rPr>
        <w:t>75</w:t>
      </w:r>
      <w:r>
        <w:rPr>
          <w:rFonts w:hint="eastAsia"/>
          <w:b/>
          <w:u w:val="single"/>
        </w:rPr>
        <w:t>万平方米，人均</w:t>
      </w:r>
      <w:r>
        <w:rPr>
          <w:rFonts w:hint="eastAsia" w:asciiTheme="minorEastAsia" w:hAnsiTheme="minorEastAsia" w:eastAsiaTheme="minorEastAsia"/>
          <w:b/>
          <w:kern w:val="0"/>
          <w:u w:val="single"/>
        </w:rPr>
        <w:t>1.00</w:t>
      </w:r>
      <w:r>
        <w:rPr>
          <w:rFonts w:hint="eastAsia"/>
          <w:b/>
          <w:u w:val="single"/>
        </w:rPr>
        <w:t>平方米。</w:t>
      </w:r>
    </w:p>
    <w:p>
      <w:pPr>
        <w:spacing w:before="156"/>
        <w:rPr>
          <w:b/>
          <w:u w:val="single"/>
        </w:rPr>
      </w:pPr>
      <w:r>
        <w:rPr>
          <w:rFonts w:hint="eastAsia"/>
          <w:b/>
          <w:u w:val="single"/>
        </w:rPr>
        <w:t>规划新建三所三级甲等综合医院，主要分布在铁西、城北等新建区域，其一位于汇通南路与环城南路交叉口西北角；其二位于园区路与新站东街交叉口西南角，其三位于文华街与中都北路交叉口以东地区；同时保留现有的全部二级以上大中型医疗机构。</w:t>
      </w:r>
    </w:p>
    <w:p>
      <w:pPr>
        <w:spacing w:before="156"/>
        <w:rPr>
          <w:b/>
          <w:u w:val="single"/>
        </w:rPr>
      </w:pPr>
      <w:r>
        <w:rPr>
          <w:rFonts w:hint="eastAsia"/>
          <w:b/>
          <w:u w:val="single"/>
        </w:rPr>
        <w:t>以街道、社区为单位，建设社区卫生服务中心（站）。</w:t>
      </w:r>
    </w:p>
    <w:p>
      <w:pPr>
        <w:pStyle w:val="131"/>
        <w:spacing w:before="156"/>
        <w:ind w:left="960"/>
      </w:pPr>
      <w:r>
        <w:rPr>
          <w:rFonts w:hint="eastAsia"/>
        </w:rPr>
        <w:t>（</w:t>
      </w:r>
      <w:r>
        <w:t>6</w:t>
      </w:r>
      <w:r>
        <w:rPr>
          <w:rFonts w:hint="eastAsia"/>
        </w:rPr>
        <w:t>）社会福利用地</w:t>
      </w:r>
    </w:p>
    <w:p>
      <w:pPr>
        <w:spacing w:before="156"/>
        <w:rPr>
          <w:b/>
          <w:u w:val="single"/>
        </w:rPr>
      </w:pPr>
      <w:r>
        <w:rPr>
          <w:rFonts w:hint="eastAsia"/>
          <w:b/>
          <w:u w:val="single"/>
        </w:rPr>
        <w:t>规划社会福利设施用地</w:t>
      </w:r>
      <w:r>
        <w:rPr>
          <w:rFonts w:asciiTheme="minorEastAsia" w:hAnsiTheme="minorEastAsia" w:eastAsiaTheme="minorEastAsia"/>
          <w:b/>
          <w:kern w:val="0"/>
          <w:u w:val="single"/>
        </w:rPr>
        <w:t>36.02</w:t>
      </w:r>
      <w:r>
        <w:rPr>
          <w:rFonts w:hint="eastAsia"/>
          <w:b/>
          <w:u w:val="single"/>
        </w:rPr>
        <w:t>万平方米，人均</w:t>
      </w:r>
      <w:r>
        <w:rPr>
          <w:b/>
          <w:u w:val="single"/>
        </w:rPr>
        <w:t>0.</w:t>
      </w:r>
      <w:r>
        <w:rPr>
          <w:rFonts w:hint="eastAsia"/>
          <w:b/>
          <w:u w:val="single"/>
        </w:rPr>
        <w:t>2</w:t>
      </w:r>
      <w:r>
        <w:rPr>
          <w:b/>
          <w:u w:val="single"/>
        </w:rPr>
        <w:t>7</w:t>
      </w:r>
      <w:r>
        <w:rPr>
          <w:rFonts w:hint="eastAsia"/>
          <w:b/>
          <w:u w:val="single"/>
        </w:rPr>
        <w:t>平方米。</w:t>
      </w:r>
    </w:p>
    <w:p>
      <w:pPr>
        <w:spacing w:before="156"/>
        <w:rPr>
          <w:b/>
          <w:u w:val="single"/>
        </w:rPr>
      </w:pPr>
      <w:r>
        <w:rPr>
          <w:rFonts w:hint="eastAsia"/>
          <w:b/>
          <w:u w:val="single"/>
        </w:rPr>
        <w:t>在城东片区与城西片区各规划五处社会福利设施，并结合城市中心与片区中心布局，每处用地面积为</w:t>
      </w:r>
      <w:r>
        <w:rPr>
          <w:b/>
          <w:u w:val="single"/>
        </w:rPr>
        <w:t>1-5</w:t>
      </w:r>
      <w:r>
        <w:rPr>
          <w:rFonts w:hint="eastAsia"/>
          <w:b/>
          <w:u w:val="single"/>
        </w:rPr>
        <w:t>万平方米。</w:t>
      </w:r>
    </w:p>
    <w:p>
      <w:pPr>
        <w:pStyle w:val="131"/>
        <w:spacing w:before="156"/>
        <w:ind w:left="960"/>
      </w:pPr>
      <w:r>
        <w:rPr>
          <w:rFonts w:hint="eastAsia"/>
        </w:rPr>
        <w:t>（</w:t>
      </w:r>
      <w:r>
        <w:t>7</w:t>
      </w:r>
      <w:r>
        <w:rPr>
          <w:rFonts w:hint="eastAsia"/>
        </w:rPr>
        <w:t>）文物古迹用地</w:t>
      </w:r>
    </w:p>
    <w:p>
      <w:pPr>
        <w:spacing w:before="156"/>
      </w:pPr>
      <w:r>
        <w:rPr>
          <w:rFonts w:hint="eastAsia"/>
        </w:rPr>
        <w:t>规划文物古迹用地</w:t>
      </w:r>
      <w:r>
        <w:rPr>
          <w:rFonts w:hint="default" w:ascii="Times New Roman" w:hAnsi="Times New Roman" w:cs="Times New Roman" w:eastAsiaTheme="minorEastAsia"/>
          <w:kern w:val="0"/>
        </w:rPr>
        <w:t>11.37</w:t>
      </w:r>
      <w:r>
        <w:rPr>
          <w:rFonts w:hint="eastAsia"/>
        </w:rPr>
        <w:t>万平方米。</w:t>
      </w:r>
    </w:p>
    <w:p>
      <w:pPr>
        <w:spacing w:before="156"/>
      </w:pPr>
      <w:r>
        <w:rPr>
          <w:rFonts w:hint="eastAsia"/>
        </w:rPr>
        <w:t>对各类文物古迹进一步加强保护，对已公布的文物保护单位，按照《中华人民共和国文物保护法》的要求予以保护；对晋华纺织厂旧址按照相关申报文件落实控制范围，协调文物保护与城市发展之间的关系。</w:t>
      </w:r>
    </w:p>
    <w:p>
      <w:pPr>
        <w:spacing w:before="156"/>
      </w:pPr>
      <w:r>
        <w:rPr>
          <w:rFonts w:hint="eastAsia"/>
        </w:rPr>
        <w:t>猫儿岭古墓群保护范围内的城市建设落实以下两点控制要求：</w:t>
      </w:r>
    </w:p>
    <w:p>
      <w:pPr>
        <w:spacing w:before="156"/>
      </w:pPr>
      <w:r>
        <w:rPr>
          <w:rFonts w:hint="eastAsia"/>
        </w:rPr>
        <w:t>猫儿岭古墓群保护范围内现状已建设的用地，今后如需进行改造，须经文物行政主管部门同意并进行文物勘探、发掘后方可进行。</w:t>
      </w:r>
    </w:p>
    <w:p>
      <w:pPr>
        <w:spacing w:before="156"/>
      </w:pPr>
      <w:r>
        <w:rPr>
          <w:rFonts w:hint="eastAsia"/>
        </w:rPr>
        <w:t>猫儿岭古墓群保护范围内尚未建设的用地，应严格控制用地建设，如需进行建设，须报相应的文物行政主管部门批准。</w:t>
      </w:r>
    </w:p>
    <w:p>
      <w:pPr>
        <w:pStyle w:val="4"/>
        <w:tabs>
          <w:tab w:val="left" w:pos="993"/>
          <w:tab w:val="clear" w:pos="1260"/>
        </w:tabs>
        <w:spacing w:before="312"/>
        <w:ind w:left="851" w:hanging="834"/>
      </w:pPr>
      <w:r>
        <w:rPr>
          <w:rFonts w:hint="eastAsia"/>
        </w:rPr>
        <w:t>商业服务设施用地规划</w:t>
      </w:r>
    </w:p>
    <w:p>
      <w:pPr>
        <w:pStyle w:val="131"/>
        <w:spacing w:before="156"/>
        <w:ind w:left="960"/>
        <w:rPr>
          <w:rFonts w:asciiTheme="minorEastAsia" w:hAnsiTheme="minorEastAsia" w:eastAsiaTheme="minorEastAsia"/>
          <w:kern w:val="0"/>
          <w:szCs w:val="24"/>
        </w:rPr>
      </w:pPr>
      <w:r>
        <w:rPr>
          <w:rFonts w:hint="eastAsia" w:asciiTheme="minorEastAsia" w:hAnsiTheme="minorEastAsia" w:eastAsiaTheme="minorEastAsia"/>
          <w:kern w:val="0"/>
          <w:szCs w:val="24"/>
        </w:rPr>
        <w:t>（</w:t>
      </w:r>
      <w:r>
        <w:rPr>
          <w:rFonts w:asciiTheme="minorEastAsia" w:hAnsiTheme="minorEastAsia" w:eastAsiaTheme="minorEastAsia"/>
          <w:kern w:val="0"/>
          <w:szCs w:val="24"/>
        </w:rPr>
        <w:t>1</w:t>
      </w:r>
      <w:r>
        <w:rPr>
          <w:rFonts w:hint="eastAsia" w:asciiTheme="minorEastAsia" w:hAnsiTheme="minorEastAsia" w:eastAsiaTheme="minorEastAsia"/>
          <w:kern w:val="0"/>
          <w:szCs w:val="24"/>
        </w:rPr>
        <w:t>）商业用地</w:t>
      </w:r>
    </w:p>
    <w:p>
      <w:pPr>
        <w:spacing w:before="156"/>
        <w:rPr>
          <w:rFonts w:asciiTheme="minorEastAsia" w:hAnsiTheme="minorEastAsia" w:eastAsiaTheme="minorEastAsia"/>
          <w:kern w:val="0"/>
        </w:rPr>
      </w:pPr>
      <w:r>
        <w:rPr>
          <w:rFonts w:hint="eastAsia" w:asciiTheme="minorEastAsia" w:hAnsiTheme="minorEastAsia" w:eastAsiaTheme="minorEastAsia"/>
          <w:kern w:val="0"/>
        </w:rPr>
        <w:t>商业体系规划采用“一主、两副、多网点”的结构。一主指旧城商业中心。旧城商业中心的建设将围绕榆次老城和文化广场周边为重点。</w:t>
      </w:r>
    </w:p>
    <w:p>
      <w:pPr>
        <w:spacing w:before="156"/>
        <w:rPr>
          <w:rFonts w:asciiTheme="minorEastAsia" w:hAnsiTheme="minorEastAsia" w:eastAsiaTheme="minorEastAsia"/>
          <w:kern w:val="0"/>
        </w:rPr>
      </w:pPr>
      <w:r>
        <w:rPr>
          <w:rFonts w:hint="eastAsia" w:asciiTheme="minorEastAsia" w:hAnsiTheme="minorEastAsia" w:eastAsiaTheme="minorEastAsia"/>
          <w:kern w:val="0"/>
        </w:rPr>
        <w:t>两副指北部新区商业副中心和城西商业副中心。北部新区商业副中心是中心城区主要的商务办公中心，重点建设商务办公设施，发展相对高端的商业服务，同时建设高档会议、酒店设施；城西商业副中心依托高铁站，建设服务于区域的商贸商务设施，并兼顾服务于市民生活的一般商业网点。</w:t>
      </w:r>
    </w:p>
    <w:p>
      <w:pPr>
        <w:spacing w:before="156"/>
        <w:rPr>
          <w:rFonts w:asciiTheme="minorEastAsia" w:hAnsiTheme="minorEastAsia" w:eastAsiaTheme="minorEastAsia"/>
          <w:kern w:val="0"/>
        </w:rPr>
      </w:pPr>
      <w:r>
        <w:rPr>
          <w:rFonts w:hint="eastAsia" w:asciiTheme="minorEastAsia" w:hAnsiTheme="minorEastAsia" w:eastAsiaTheme="minorEastAsia"/>
          <w:kern w:val="0"/>
        </w:rPr>
        <w:t>多网点指居住区级（社区）商业中心，建设项目及规模参考居住区公共设施标准确定。</w:t>
      </w:r>
    </w:p>
    <w:p>
      <w:pPr>
        <w:spacing w:before="156"/>
        <w:rPr>
          <w:rFonts w:asciiTheme="minorEastAsia" w:hAnsiTheme="minorEastAsia" w:eastAsiaTheme="minorEastAsia"/>
          <w:kern w:val="0"/>
        </w:rPr>
      </w:pPr>
      <w:r>
        <w:rPr>
          <w:rFonts w:hint="eastAsia"/>
        </w:rPr>
        <w:t>规划商业用地</w:t>
      </w:r>
      <w:r>
        <w:t>939.38</w:t>
      </w:r>
      <w:r>
        <w:rPr>
          <w:rFonts w:hint="eastAsia"/>
        </w:rPr>
        <w:t>万平方米，人均7.</w:t>
      </w:r>
      <w:r>
        <w:t>12</w:t>
      </w:r>
      <w:r>
        <w:rPr>
          <w:rFonts w:hint="eastAsia"/>
        </w:rPr>
        <w:t>平方米</w:t>
      </w:r>
      <w:r>
        <w:rPr>
          <w:rFonts w:hint="eastAsia" w:asciiTheme="minorEastAsia" w:hAnsiTheme="minorEastAsia" w:eastAsiaTheme="minorEastAsia"/>
          <w:kern w:val="0"/>
        </w:rPr>
        <w:t>。</w:t>
      </w:r>
    </w:p>
    <w:p>
      <w:pPr>
        <w:pStyle w:val="131"/>
        <w:spacing w:before="156"/>
        <w:ind w:left="960"/>
        <w:rPr>
          <w:rFonts w:asciiTheme="minorEastAsia" w:hAnsiTheme="minorEastAsia" w:eastAsiaTheme="minorEastAsia"/>
          <w:kern w:val="0"/>
          <w:szCs w:val="24"/>
        </w:rPr>
      </w:pPr>
      <w:r>
        <w:rPr>
          <w:rFonts w:hint="eastAsia" w:asciiTheme="minorEastAsia" w:hAnsiTheme="minorEastAsia" w:eastAsiaTheme="minorEastAsia"/>
          <w:kern w:val="0"/>
          <w:szCs w:val="24"/>
        </w:rPr>
        <w:t>（</w:t>
      </w:r>
      <w:r>
        <w:rPr>
          <w:rFonts w:asciiTheme="minorEastAsia" w:hAnsiTheme="minorEastAsia" w:eastAsiaTheme="minorEastAsia"/>
          <w:kern w:val="0"/>
          <w:szCs w:val="24"/>
        </w:rPr>
        <w:t>2</w:t>
      </w:r>
      <w:r>
        <w:rPr>
          <w:rFonts w:hint="eastAsia" w:asciiTheme="minorEastAsia" w:hAnsiTheme="minorEastAsia" w:eastAsiaTheme="minorEastAsia"/>
          <w:kern w:val="0"/>
          <w:szCs w:val="24"/>
        </w:rPr>
        <w:t>）商务用地</w:t>
      </w:r>
    </w:p>
    <w:p>
      <w:pPr>
        <w:spacing w:before="156"/>
        <w:rPr>
          <w:rFonts w:asciiTheme="minorEastAsia" w:hAnsiTheme="minorEastAsia" w:eastAsiaTheme="minorEastAsia"/>
          <w:kern w:val="0"/>
        </w:rPr>
      </w:pPr>
      <w:r>
        <w:rPr>
          <w:rFonts w:hint="eastAsia" w:asciiTheme="minorEastAsia" w:hAnsiTheme="minorEastAsia" w:eastAsiaTheme="minorEastAsia"/>
          <w:kern w:val="0"/>
        </w:rPr>
        <w:t>规划商务用地主要分布在北部新区定阳路两侧、汇通路与迎宾西街交叉口以西以及晋中站周边。</w:t>
      </w:r>
    </w:p>
    <w:p>
      <w:pPr>
        <w:spacing w:before="156"/>
        <w:rPr>
          <w:rFonts w:asciiTheme="minorEastAsia" w:hAnsiTheme="minorEastAsia" w:eastAsiaTheme="minorEastAsia"/>
          <w:kern w:val="0"/>
        </w:rPr>
      </w:pPr>
      <w:r>
        <w:rPr>
          <w:rFonts w:hint="eastAsia"/>
          <w:kern w:val="0"/>
        </w:rPr>
        <w:t>规划商务用地</w:t>
      </w:r>
      <w:r>
        <w:rPr>
          <w:kern w:val="0"/>
        </w:rPr>
        <w:t>202.02</w:t>
      </w:r>
      <w:r>
        <w:rPr>
          <w:rFonts w:hint="eastAsia"/>
          <w:kern w:val="0"/>
        </w:rPr>
        <w:t>万平方米，人均1.</w:t>
      </w:r>
      <w:r>
        <w:rPr>
          <w:kern w:val="0"/>
        </w:rPr>
        <w:t>53</w:t>
      </w:r>
      <w:r>
        <w:rPr>
          <w:rFonts w:hint="eastAsia"/>
          <w:kern w:val="0"/>
        </w:rPr>
        <w:t xml:space="preserve"> 平方米</w:t>
      </w:r>
      <w:r>
        <w:rPr>
          <w:rFonts w:hint="eastAsia" w:asciiTheme="minorEastAsia" w:hAnsiTheme="minorEastAsia" w:eastAsiaTheme="minorEastAsia"/>
          <w:kern w:val="0"/>
        </w:rPr>
        <w:t>。</w:t>
      </w:r>
    </w:p>
    <w:p>
      <w:pPr>
        <w:pStyle w:val="131"/>
        <w:spacing w:before="156"/>
        <w:ind w:left="960"/>
        <w:rPr>
          <w:rFonts w:asciiTheme="minorEastAsia" w:hAnsiTheme="minorEastAsia" w:eastAsiaTheme="minorEastAsia"/>
          <w:kern w:val="0"/>
          <w:szCs w:val="24"/>
        </w:rPr>
      </w:pPr>
      <w:r>
        <w:rPr>
          <w:rFonts w:hint="eastAsia" w:asciiTheme="minorEastAsia" w:hAnsiTheme="minorEastAsia" w:eastAsiaTheme="minorEastAsia"/>
          <w:kern w:val="0"/>
          <w:szCs w:val="24"/>
        </w:rPr>
        <w:t>（</w:t>
      </w:r>
      <w:r>
        <w:rPr>
          <w:rFonts w:asciiTheme="minorEastAsia" w:hAnsiTheme="minorEastAsia" w:eastAsiaTheme="minorEastAsia"/>
          <w:kern w:val="0"/>
          <w:szCs w:val="24"/>
        </w:rPr>
        <w:t>3</w:t>
      </w:r>
      <w:r>
        <w:rPr>
          <w:rFonts w:hint="eastAsia" w:asciiTheme="minorEastAsia" w:hAnsiTheme="minorEastAsia" w:eastAsiaTheme="minorEastAsia"/>
          <w:kern w:val="0"/>
          <w:szCs w:val="24"/>
        </w:rPr>
        <w:t>）娱乐康体用地</w:t>
      </w:r>
    </w:p>
    <w:p>
      <w:pPr>
        <w:spacing w:before="156"/>
        <w:rPr>
          <w:rFonts w:asciiTheme="minorEastAsia" w:hAnsiTheme="minorEastAsia" w:eastAsiaTheme="minorEastAsia"/>
          <w:kern w:val="0"/>
        </w:rPr>
      </w:pPr>
      <w:r>
        <w:rPr>
          <w:rFonts w:hint="eastAsia" w:asciiTheme="minorEastAsia" w:hAnsiTheme="minorEastAsia" w:eastAsiaTheme="minorEastAsia"/>
          <w:kern w:val="0"/>
        </w:rPr>
        <w:t>规划娱乐康体用地主要分三片分布：</w:t>
      </w:r>
    </w:p>
    <w:p>
      <w:pPr>
        <w:spacing w:before="156"/>
        <w:rPr>
          <w:rFonts w:asciiTheme="minorEastAsia" w:hAnsiTheme="minorEastAsia" w:eastAsiaTheme="minorEastAsia"/>
          <w:kern w:val="0"/>
        </w:rPr>
      </w:pPr>
      <w:r>
        <w:rPr>
          <w:rFonts w:hint="eastAsia" w:asciiTheme="minorEastAsia" w:hAnsiTheme="minorEastAsia" w:eastAsiaTheme="minorEastAsia"/>
          <w:kern w:val="0"/>
        </w:rPr>
        <w:t>榆次老城仿古游园：进一步改善景观环境，增加游乐项目和文化活动，建设为富有老城特色的旅游景点；</w:t>
      </w:r>
    </w:p>
    <w:p>
      <w:pPr>
        <w:spacing w:before="156"/>
        <w:rPr>
          <w:rFonts w:asciiTheme="minorEastAsia" w:hAnsiTheme="minorEastAsia" w:eastAsiaTheme="minorEastAsia"/>
          <w:kern w:val="0"/>
        </w:rPr>
      </w:pPr>
      <w:r>
        <w:rPr>
          <w:rFonts w:hint="eastAsia" w:asciiTheme="minorEastAsia" w:hAnsiTheme="minorEastAsia" w:eastAsiaTheme="minorEastAsia"/>
          <w:kern w:val="0"/>
        </w:rPr>
        <w:t>北部新区文化中心：行政围绕北部新区的行政文化中心，建设品味较高的剧院、影院等大众文化娱乐设施；</w:t>
      </w:r>
    </w:p>
    <w:p>
      <w:pPr>
        <w:spacing w:before="156"/>
        <w:rPr>
          <w:rFonts w:asciiTheme="minorEastAsia" w:hAnsiTheme="minorEastAsia" w:eastAsiaTheme="minorEastAsia"/>
          <w:kern w:val="0"/>
        </w:rPr>
      </w:pPr>
      <w:r>
        <w:rPr>
          <w:rFonts w:hint="eastAsia" w:asciiTheme="minorEastAsia" w:hAnsiTheme="minorEastAsia" w:eastAsiaTheme="minorEastAsia"/>
          <w:kern w:val="0"/>
        </w:rPr>
        <w:t>城西高铁站娱乐中心：结合城西高铁站商业中心，配套建设娱乐康体用地。</w:t>
      </w:r>
    </w:p>
    <w:p>
      <w:pPr>
        <w:spacing w:before="156"/>
      </w:pPr>
      <w:r>
        <w:rPr>
          <w:rFonts w:hint="eastAsia"/>
        </w:rPr>
        <w:t>规划娱乐康体用地</w:t>
      </w:r>
      <w:r>
        <w:t>64.19</w:t>
      </w:r>
      <w:r>
        <w:rPr>
          <w:rFonts w:hint="eastAsia"/>
        </w:rPr>
        <w:t>万平方米，人均</w:t>
      </w:r>
      <w:r>
        <w:t>0.49平方米</w:t>
      </w:r>
      <w:r>
        <w:rPr>
          <w:rFonts w:hint="eastAsia" w:asciiTheme="minorEastAsia" w:hAnsiTheme="minorEastAsia" w:eastAsiaTheme="minorEastAsia"/>
          <w:kern w:val="0"/>
        </w:rPr>
        <w:t>。</w:t>
      </w:r>
    </w:p>
    <w:p>
      <w:pPr>
        <w:pStyle w:val="3"/>
        <w:spacing w:before="156" w:after="156"/>
        <w:rPr>
          <w:rStyle w:val="52"/>
          <w:b w:val="0"/>
          <w:color w:val="auto"/>
          <w:u w:val="none"/>
        </w:rPr>
      </w:pPr>
      <w:bookmarkStart w:id="243" w:name="_Toc492850121"/>
      <w:r>
        <w:rPr>
          <w:rStyle w:val="52"/>
          <w:rFonts w:hint="eastAsia"/>
          <w:b w:val="0"/>
          <w:color w:val="auto"/>
          <w:u w:val="none"/>
        </w:rPr>
        <w:t>第六节 工业与仓储用地规划</w:t>
      </w:r>
      <w:bookmarkEnd w:id="243"/>
    </w:p>
    <w:p>
      <w:pPr>
        <w:pStyle w:val="4"/>
        <w:tabs>
          <w:tab w:val="left" w:pos="993"/>
          <w:tab w:val="clear" w:pos="1260"/>
        </w:tabs>
        <w:spacing w:before="312"/>
        <w:ind w:left="851" w:hanging="834"/>
      </w:pPr>
      <w:bookmarkStart w:id="244" w:name="_Toc277460767"/>
      <w:bookmarkStart w:id="245" w:name="_Toc277460924"/>
      <w:bookmarkStart w:id="246" w:name="_Toc275418527"/>
      <w:bookmarkStart w:id="247" w:name="_Toc277460610"/>
      <w:r>
        <w:rPr>
          <w:rFonts w:hint="eastAsia"/>
        </w:rPr>
        <w:t>工业用地规划</w:t>
      </w:r>
      <w:bookmarkEnd w:id="244"/>
      <w:bookmarkEnd w:id="245"/>
      <w:bookmarkEnd w:id="246"/>
      <w:bookmarkEnd w:id="247"/>
    </w:p>
    <w:p>
      <w:pPr>
        <w:spacing w:before="156"/>
        <w:rPr>
          <w:rFonts w:asciiTheme="minorEastAsia" w:hAnsiTheme="minorEastAsia" w:eastAsiaTheme="minorEastAsia"/>
          <w:kern w:val="0"/>
        </w:rPr>
      </w:pPr>
      <w:r>
        <w:rPr>
          <w:rFonts w:hint="eastAsia" w:asciiTheme="minorEastAsia" w:hAnsiTheme="minorEastAsia" w:eastAsiaTheme="minorEastAsia"/>
          <w:kern w:val="0"/>
        </w:rPr>
        <w:t>对旧城区、铁北区内的工业企业进行退二进三改造，调整为文化、居住、商业、绿地等用地类型，改善城区的环境质量，提高土地使用效率。同时集中建设四片工业区，发挥规模集聚效应，促进产业发展。</w:t>
      </w:r>
    </w:p>
    <w:p>
      <w:pPr>
        <w:pStyle w:val="131"/>
        <w:spacing w:before="156"/>
        <w:ind w:left="960"/>
        <w:rPr>
          <w:rFonts w:asciiTheme="minorEastAsia" w:hAnsiTheme="minorEastAsia" w:eastAsiaTheme="minorEastAsia"/>
          <w:kern w:val="0"/>
          <w:szCs w:val="24"/>
        </w:rPr>
      </w:pPr>
      <w:r>
        <w:rPr>
          <w:rFonts w:hint="eastAsia" w:asciiTheme="minorEastAsia" w:hAnsiTheme="minorEastAsia" w:eastAsiaTheme="minorEastAsia"/>
          <w:kern w:val="0"/>
          <w:szCs w:val="24"/>
        </w:rPr>
        <w:t>（</w:t>
      </w:r>
      <w:r>
        <w:rPr>
          <w:rFonts w:asciiTheme="minorEastAsia" w:hAnsiTheme="minorEastAsia" w:eastAsiaTheme="minorEastAsia"/>
          <w:kern w:val="0"/>
          <w:szCs w:val="24"/>
        </w:rPr>
        <w:t>1</w:t>
      </w:r>
      <w:r>
        <w:rPr>
          <w:rFonts w:hint="eastAsia" w:asciiTheme="minorEastAsia" w:hAnsiTheme="minorEastAsia" w:eastAsiaTheme="minorEastAsia"/>
          <w:kern w:val="0"/>
          <w:szCs w:val="24"/>
        </w:rPr>
        <w:t>）晋中开发区产业组团</w:t>
      </w:r>
    </w:p>
    <w:p>
      <w:pPr>
        <w:spacing w:before="156"/>
        <w:rPr>
          <w:rFonts w:asciiTheme="minorEastAsia" w:hAnsiTheme="minorEastAsia" w:eastAsiaTheme="minorEastAsia"/>
          <w:kern w:val="0"/>
        </w:rPr>
      </w:pPr>
      <w:r>
        <w:rPr>
          <w:rFonts w:hint="eastAsia" w:asciiTheme="minorEastAsia" w:hAnsiTheme="minorEastAsia" w:eastAsiaTheme="minorEastAsia"/>
          <w:kern w:val="0"/>
        </w:rPr>
        <w:t>重点依托综改示范区的建设，积极发展煤基转化、装备相关的中试功能以及制造业，同时可引进少量小型、易置换的加工、无污染的产业。</w:t>
      </w:r>
    </w:p>
    <w:p>
      <w:pPr>
        <w:pStyle w:val="131"/>
        <w:spacing w:before="156"/>
        <w:ind w:left="960"/>
        <w:rPr>
          <w:rFonts w:asciiTheme="minorEastAsia" w:hAnsiTheme="minorEastAsia" w:eastAsiaTheme="minorEastAsia"/>
          <w:kern w:val="0"/>
          <w:szCs w:val="24"/>
        </w:rPr>
      </w:pPr>
      <w:r>
        <w:rPr>
          <w:rFonts w:hint="eastAsia" w:asciiTheme="minorEastAsia" w:hAnsiTheme="minorEastAsia" w:eastAsiaTheme="minorEastAsia"/>
          <w:kern w:val="0"/>
          <w:szCs w:val="24"/>
        </w:rPr>
        <w:t>（</w:t>
      </w:r>
      <w:r>
        <w:rPr>
          <w:rFonts w:asciiTheme="minorEastAsia" w:hAnsiTheme="minorEastAsia" w:eastAsiaTheme="minorEastAsia"/>
          <w:kern w:val="0"/>
          <w:szCs w:val="24"/>
        </w:rPr>
        <w:t>2</w:t>
      </w:r>
      <w:r>
        <w:rPr>
          <w:rFonts w:hint="eastAsia" w:asciiTheme="minorEastAsia" w:hAnsiTheme="minorEastAsia" w:eastAsiaTheme="minorEastAsia"/>
          <w:kern w:val="0"/>
          <w:szCs w:val="24"/>
        </w:rPr>
        <w:t>）寇村产业组团</w:t>
      </w:r>
    </w:p>
    <w:p>
      <w:pPr>
        <w:spacing w:before="156"/>
        <w:rPr>
          <w:rFonts w:asciiTheme="minorEastAsia" w:hAnsiTheme="minorEastAsia" w:eastAsiaTheme="minorEastAsia"/>
          <w:kern w:val="0"/>
        </w:rPr>
      </w:pPr>
      <w:r>
        <w:rPr>
          <w:rFonts w:hint="eastAsia" w:asciiTheme="minorEastAsia" w:hAnsiTheme="minorEastAsia" w:eastAsiaTheme="minorEastAsia"/>
          <w:kern w:val="0"/>
        </w:rPr>
        <w:t>重点发展以纺织机械、液压元器件、食品加工等产业为主的机械制造和食品加工产业。</w:t>
      </w:r>
    </w:p>
    <w:p>
      <w:pPr>
        <w:pStyle w:val="131"/>
        <w:spacing w:before="156"/>
        <w:ind w:left="960"/>
        <w:rPr>
          <w:rFonts w:asciiTheme="minorEastAsia" w:hAnsiTheme="minorEastAsia" w:eastAsiaTheme="minorEastAsia"/>
          <w:kern w:val="0"/>
          <w:szCs w:val="24"/>
        </w:rPr>
      </w:pPr>
      <w:r>
        <w:rPr>
          <w:rFonts w:hint="eastAsia" w:asciiTheme="minorEastAsia" w:hAnsiTheme="minorEastAsia" w:eastAsiaTheme="minorEastAsia"/>
          <w:kern w:val="0"/>
          <w:szCs w:val="24"/>
        </w:rPr>
        <w:t>（</w:t>
      </w:r>
      <w:r>
        <w:rPr>
          <w:rFonts w:asciiTheme="minorEastAsia" w:hAnsiTheme="minorEastAsia" w:eastAsiaTheme="minorEastAsia"/>
          <w:kern w:val="0"/>
          <w:szCs w:val="24"/>
        </w:rPr>
        <w:t>3</w:t>
      </w:r>
      <w:r>
        <w:rPr>
          <w:rFonts w:hint="eastAsia" w:asciiTheme="minorEastAsia" w:hAnsiTheme="minorEastAsia" w:eastAsiaTheme="minorEastAsia"/>
          <w:kern w:val="0"/>
          <w:szCs w:val="24"/>
        </w:rPr>
        <w:t>）城东产业组团</w:t>
      </w:r>
    </w:p>
    <w:p>
      <w:pPr>
        <w:spacing w:before="156"/>
        <w:rPr>
          <w:rFonts w:asciiTheme="minorEastAsia" w:hAnsiTheme="minorEastAsia" w:eastAsiaTheme="minorEastAsia"/>
          <w:kern w:val="0"/>
        </w:rPr>
      </w:pPr>
      <w:r>
        <w:rPr>
          <w:rFonts w:hint="eastAsia" w:asciiTheme="minorEastAsia" w:hAnsiTheme="minorEastAsia" w:eastAsiaTheme="minorEastAsia"/>
          <w:kern w:val="0"/>
        </w:rPr>
        <w:t>重点发展以新能源汽车生产与总装、发动机及相关零配件为主的汽车制造业。</w:t>
      </w:r>
    </w:p>
    <w:p>
      <w:pPr>
        <w:pStyle w:val="131"/>
        <w:spacing w:before="156"/>
        <w:ind w:left="960"/>
        <w:rPr>
          <w:rFonts w:asciiTheme="minorEastAsia" w:hAnsiTheme="minorEastAsia" w:eastAsiaTheme="minorEastAsia"/>
          <w:kern w:val="0"/>
          <w:szCs w:val="24"/>
        </w:rPr>
      </w:pPr>
      <w:bookmarkStart w:id="248" w:name="_Toc277460926"/>
      <w:bookmarkStart w:id="249" w:name="_Toc277460769"/>
      <w:bookmarkStart w:id="250" w:name="_Toc275418529"/>
      <w:bookmarkStart w:id="251" w:name="_Toc277460612"/>
      <w:r>
        <w:rPr>
          <w:rFonts w:hint="eastAsia" w:asciiTheme="minorEastAsia" w:hAnsiTheme="minorEastAsia" w:eastAsiaTheme="minorEastAsia"/>
          <w:kern w:val="0"/>
          <w:szCs w:val="24"/>
        </w:rPr>
        <w:t>（</w:t>
      </w:r>
      <w:r>
        <w:rPr>
          <w:rFonts w:asciiTheme="minorEastAsia" w:hAnsiTheme="minorEastAsia" w:eastAsiaTheme="minorEastAsia"/>
          <w:kern w:val="0"/>
          <w:szCs w:val="24"/>
        </w:rPr>
        <w:t>4</w:t>
      </w:r>
      <w:r>
        <w:rPr>
          <w:rFonts w:hint="eastAsia" w:asciiTheme="minorEastAsia" w:hAnsiTheme="minorEastAsia" w:eastAsiaTheme="minorEastAsia"/>
          <w:kern w:val="0"/>
          <w:szCs w:val="24"/>
        </w:rPr>
        <w:t>）</w:t>
      </w:r>
      <w:r>
        <w:rPr>
          <w:rFonts w:hint="eastAsia" w:ascii="宋体" w:hAnsi="宋体"/>
        </w:rPr>
        <w:t>潇河产业</w:t>
      </w:r>
      <w:r>
        <w:rPr>
          <w:rFonts w:ascii="宋体" w:hAnsi="宋体"/>
        </w:rPr>
        <w:t>园区晋中起步区工业</w:t>
      </w:r>
      <w:r>
        <w:rPr>
          <w:rFonts w:hint="eastAsia" w:ascii="宋体" w:hAnsi="宋体"/>
        </w:rPr>
        <w:t>组团</w:t>
      </w:r>
    </w:p>
    <w:p>
      <w:pPr>
        <w:spacing w:before="156"/>
        <w:rPr>
          <w:rFonts w:asciiTheme="minorEastAsia" w:hAnsiTheme="minorEastAsia" w:eastAsiaTheme="minorEastAsia"/>
          <w:kern w:val="0"/>
        </w:rPr>
      </w:pPr>
      <w:r>
        <w:rPr>
          <w:rFonts w:hint="eastAsia" w:ascii="宋体" w:hAnsi="宋体"/>
        </w:rPr>
        <w:t>重点发展</w:t>
      </w:r>
      <w:r>
        <w:rPr>
          <w:rFonts w:ascii="宋体" w:hAnsi="宋体"/>
        </w:rPr>
        <w:t>总</w:t>
      </w:r>
      <w:r>
        <w:rPr>
          <w:rFonts w:hint="eastAsia" w:ascii="宋体" w:hAnsi="宋体"/>
        </w:rPr>
        <w:t>部经济、现代智能物流、新能源汽车配套、生物医药等</w:t>
      </w:r>
      <w:r>
        <w:rPr>
          <w:rFonts w:ascii="宋体" w:hAnsi="宋体"/>
        </w:rPr>
        <w:t>产业</w:t>
      </w:r>
      <w:r>
        <w:rPr>
          <w:rFonts w:hint="eastAsia" w:asciiTheme="minorEastAsia" w:hAnsiTheme="minorEastAsia" w:eastAsiaTheme="minorEastAsia"/>
          <w:kern w:val="0"/>
        </w:rPr>
        <w:t>。</w:t>
      </w:r>
    </w:p>
    <w:p>
      <w:pPr>
        <w:spacing w:before="156"/>
        <w:rPr>
          <w:rFonts w:ascii="Arial" w:hAnsi="Arial"/>
        </w:rPr>
      </w:pPr>
      <w:r>
        <w:rPr>
          <w:rFonts w:hint="eastAsia" w:asciiTheme="minorEastAsia" w:hAnsiTheme="minorEastAsia" w:eastAsiaTheme="minorEastAsia"/>
          <w:kern w:val="0"/>
        </w:rPr>
        <w:t>规划到</w:t>
      </w:r>
      <w:r>
        <w:rPr>
          <w:rFonts w:hint="default" w:ascii="Times New Roman" w:hAnsi="Times New Roman" w:cs="Times New Roman" w:eastAsiaTheme="minorEastAsia"/>
          <w:kern w:val="0"/>
        </w:rPr>
        <w:t>2030</w:t>
      </w:r>
      <w:r>
        <w:rPr>
          <w:rFonts w:hint="eastAsia" w:asciiTheme="minorEastAsia" w:hAnsiTheme="minorEastAsia" w:eastAsiaTheme="minorEastAsia"/>
          <w:kern w:val="0"/>
        </w:rPr>
        <w:t>年工业用地面积</w:t>
      </w:r>
      <w:r>
        <w:t>2255.19</w:t>
      </w:r>
      <w:r>
        <w:rPr>
          <w:rFonts w:hint="eastAsia" w:asciiTheme="minorEastAsia" w:hAnsiTheme="minorEastAsia" w:eastAsiaTheme="minorEastAsia"/>
          <w:kern w:val="0"/>
        </w:rPr>
        <w:t>万平方米，人均工业用地</w:t>
      </w:r>
      <w:r>
        <w:t>17</w:t>
      </w:r>
      <w:r>
        <w:rPr>
          <w:rFonts w:hint="eastAsia"/>
        </w:rPr>
        <w:t>.</w:t>
      </w:r>
      <w:r>
        <w:t>08</w:t>
      </w:r>
      <w:r>
        <w:rPr>
          <w:rFonts w:hint="eastAsia" w:asciiTheme="minorEastAsia" w:hAnsiTheme="minorEastAsia" w:eastAsiaTheme="minorEastAsia"/>
          <w:kern w:val="0"/>
        </w:rPr>
        <w:t>平方米。</w:t>
      </w:r>
    </w:p>
    <w:p>
      <w:pPr>
        <w:pStyle w:val="4"/>
        <w:tabs>
          <w:tab w:val="left" w:pos="993"/>
          <w:tab w:val="clear" w:pos="1260"/>
        </w:tabs>
        <w:spacing w:before="312"/>
        <w:ind w:left="851" w:hanging="834"/>
      </w:pPr>
      <w:r>
        <w:rPr>
          <w:rFonts w:hint="eastAsia"/>
        </w:rPr>
        <w:t>仓储物流用地规划</w:t>
      </w:r>
      <w:bookmarkEnd w:id="248"/>
      <w:bookmarkEnd w:id="249"/>
      <w:bookmarkEnd w:id="250"/>
      <w:bookmarkEnd w:id="251"/>
    </w:p>
    <w:p>
      <w:pPr>
        <w:spacing w:before="156"/>
        <w:rPr>
          <w:rFonts w:ascii="Arial" w:hAnsi="Arial"/>
        </w:rPr>
      </w:pPr>
      <w:r>
        <w:rPr>
          <w:rFonts w:hint="eastAsia" w:ascii="Arial" w:hAnsi="Arial"/>
        </w:rPr>
        <w:t>规划</w:t>
      </w:r>
      <w:r>
        <w:rPr>
          <w:rFonts w:hint="default" w:ascii="Times New Roman" w:hAnsi="Times New Roman" w:cs="Times New Roman"/>
        </w:rPr>
        <w:t>5</w:t>
      </w:r>
      <w:r>
        <w:rPr>
          <w:rFonts w:hint="eastAsia" w:ascii="Arial" w:hAnsi="Arial"/>
        </w:rPr>
        <w:t>处集中的仓储用地，分别位于晋中站前西荣路以东新站南路以西地区、汇通南</w:t>
      </w:r>
      <w:r>
        <w:rPr>
          <w:rFonts w:ascii="Arial" w:hAnsi="Arial"/>
        </w:rPr>
        <w:t>路</w:t>
      </w:r>
      <w:r>
        <w:rPr>
          <w:rFonts w:hint="eastAsia" w:ascii="Arial" w:hAnsi="Arial"/>
        </w:rPr>
        <w:t>以西地区、环城南路以北张超村以南地区、环城北路与王杜路西北地区，以及大学街与汇通路东北角地区。总面积</w:t>
      </w:r>
      <w:r>
        <w:rPr>
          <w:rFonts w:hint="default" w:ascii="Times New Roman" w:hAnsi="Times New Roman" w:cs="Times New Roman"/>
        </w:rPr>
        <w:t>375.13</w:t>
      </w:r>
      <w:r>
        <w:rPr>
          <w:rFonts w:hint="eastAsia" w:ascii="Arial" w:hAnsi="Arial"/>
        </w:rPr>
        <w:t>万平方米，人均仓储用地面积</w:t>
      </w:r>
      <w:r>
        <w:rPr>
          <w:rFonts w:hint="default" w:ascii="Times New Roman" w:hAnsi="Times New Roman" w:cs="Times New Roman"/>
        </w:rPr>
        <w:t>2.84</w:t>
      </w:r>
      <w:r>
        <w:rPr>
          <w:rFonts w:hint="eastAsia" w:ascii="Arial" w:hAnsi="Arial"/>
        </w:rPr>
        <w:t>平方米。</w:t>
      </w:r>
    </w:p>
    <w:p>
      <w:pPr>
        <w:spacing w:before="156"/>
        <w:rPr>
          <w:rFonts w:ascii="Arial" w:hAnsi="Arial"/>
        </w:rPr>
      </w:pPr>
      <w:r>
        <w:rPr>
          <w:rFonts w:hint="eastAsia" w:ascii="Arial" w:hAnsi="Arial"/>
        </w:rPr>
        <w:t>搬迁</w:t>
      </w:r>
      <w:r>
        <w:rPr>
          <w:rFonts w:ascii="Arial" w:hAnsi="Arial"/>
        </w:rPr>
        <w:t>晋中成品油库至</w:t>
      </w:r>
      <w:r>
        <w:rPr>
          <w:rFonts w:hint="eastAsia" w:ascii="Arial" w:hAnsi="Arial"/>
        </w:rPr>
        <w:t>潇河起步区</w:t>
      </w:r>
      <w:r>
        <w:rPr>
          <w:rFonts w:ascii="Arial" w:hAnsi="Arial"/>
        </w:rPr>
        <w:t>，与周边建筑物安全距离应满足《</w:t>
      </w:r>
      <w:r>
        <w:rPr>
          <w:rFonts w:hint="eastAsia" w:ascii="Arial" w:hAnsi="Arial"/>
        </w:rPr>
        <w:t>石油库设计</w:t>
      </w:r>
      <w:r>
        <w:rPr>
          <w:rFonts w:ascii="Arial" w:hAnsi="Arial"/>
        </w:rPr>
        <w:t>规范（</w:t>
      </w:r>
      <w:r>
        <w:rPr>
          <w:rFonts w:hint="default" w:ascii="Times New Roman" w:hAnsi="Times New Roman" w:cs="Times New Roman"/>
        </w:rPr>
        <w:t>GB50074-2014</w:t>
      </w:r>
      <w:r>
        <w:rPr>
          <w:rFonts w:ascii="Arial" w:hAnsi="Arial"/>
        </w:rPr>
        <w:t>）》</w:t>
      </w:r>
      <w:r>
        <w:rPr>
          <w:rFonts w:hint="eastAsia" w:ascii="Arial" w:hAnsi="Arial"/>
        </w:rPr>
        <w:t>的</w:t>
      </w:r>
      <w:r>
        <w:rPr>
          <w:rFonts w:ascii="Arial" w:hAnsi="Arial"/>
        </w:rPr>
        <w:t>要求。</w:t>
      </w:r>
    </w:p>
    <w:p>
      <w:pPr>
        <w:spacing w:before="156"/>
        <w:rPr>
          <w:rFonts w:ascii="Arial" w:hAnsi="Arial"/>
        </w:rPr>
      </w:pPr>
      <w:r>
        <w:rPr>
          <w:rFonts w:hint="eastAsia" w:ascii="Arial" w:hAnsi="Arial"/>
        </w:rPr>
        <w:t>在潇河起步区</w:t>
      </w:r>
      <w:r>
        <w:rPr>
          <w:rFonts w:hint="eastAsia"/>
        </w:rPr>
        <w:t>规划大型危险化学品仓储、物流基地，将城区现状相关项目搬迁至此。危化品仓储、物流项目建设与周边建筑安全距离应满足《危险化学品企业经营开业条件和技术要求》（GB18265-2000）及《危险化学品仓库建设及储存安全规范》（DB11755-2010）的相关规定。</w:t>
      </w:r>
    </w:p>
    <w:p>
      <w:pPr>
        <w:pStyle w:val="3"/>
        <w:spacing w:before="156" w:after="156"/>
        <w:rPr>
          <w:rFonts w:ascii="Times New Roman" w:hAnsi="Times New Roman"/>
          <w:b w:val="0"/>
          <w:sz w:val="24"/>
        </w:rPr>
      </w:pPr>
      <w:bookmarkStart w:id="252" w:name="_Toc492850122"/>
      <w:r>
        <w:rPr>
          <w:rStyle w:val="52"/>
          <w:rFonts w:hint="eastAsia"/>
          <w:color w:val="auto"/>
          <w:u w:val="none"/>
        </w:rPr>
        <w:t>第七节 绿地系统规划</w:t>
      </w:r>
      <w:bookmarkEnd w:id="252"/>
    </w:p>
    <w:p>
      <w:pPr>
        <w:pStyle w:val="4"/>
        <w:tabs>
          <w:tab w:val="left" w:pos="993"/>
          <w:tab w:val="clear" w:pos="1260"/>
        </w:tabs>
        <w:spacing w:before="312"/>
        <w:ind w:left="851" w:hanging="834"/>
      </w:pPr>
      <w:bookmarkStart w:id="253" w:name="_Toc277460614"/>
      <w:bookmarkStart w:id="254" w:name="_Toc277460771"/>
      <w:bookmarkStart w:id="255" w:name="_Toc275418531"/>
      <w:bookmarkStart w:id="256" w:name="_Toc277460928"/>
      <w:r>
        <w:rPr>
          <w:rFonts w:hint="eastAsia"/>
        </w:rPr>
        <w:t>规划目标</w:t>
      </w:r>
      <w:bookmarkEnd w:id="253"/>
      <w:bookmarkEnd w:id="254"/>
      <w:bookmarkEnd w:id="255"/>
      <w:bookmarkEnd w:id="256"/>
    </w:p>
    <w:p>
      <w:pPr>
        <w:spacing w:before="156"/>
        <w:rPr>
          <w:rFonts w:ascii="Arial" w:hAnsi="Arial"/>
        </w:rPr>
      </w:pPr>
      <w:r>
        <w:rPr>
          <w:rFonts w:hint="eastAsia" w:ascii="Arial" w:hAnsi="Arial"/>
        </w:rPr>
        <w:t>充分利用城市自然山水、人文景观资源，优化绿地系统结构，完善城市绿地布局。</w:t>
      </w:r>
    </w:p>
    <w:p>
      <w:pPr>
        <w:spacing w:before="156"/>
        <w:rPr>
          <w:rFonts w:ascii="Arial" w:hAnsi="Arial"/>
        </w:rPr>
      </w:pPr>
      <w:r>
        <w:rPr>
          <w:rFonts w:hint="eastAsia" w:ascii="Arial" w:hAnsi="Arial"/>
        </w:rPr>
        <w:t>规划到</w:t>
      </w:r>
      <w:r>
        <w:rPr>
          <w:rFonts w:hint="default" w:ascii="Times New Roman" w:hAnsi="Times New Roman" w:cs="Times New Roman"/>
        </w:rPr>
        <w:t>2030</w:t>
      </w:r>
      <w:r>
        <w:rPr>
          <w:rFonts w:hint="eastAsia" w:ascii="Arial" w:hAnsi="Arial"/>
        </w:rPr>
        <w:t>年中心城区绿地与广场用地总面积</w:t>
      </w:r>
      <w:r>
        <w:t>1637.32</w:t>
      </w:r>
      <w:r>
        <w:rPr>
          <w:rFonts w:hint="eastAsia" w:ascii="Arial" w:hAnsi="Arial"/>
        </w:rPr>
        <w:t>万平方米，人均</w:t>
      </w:r>
      <w:r>
        <w:rPr>
          <w:rFonts w:hint="default" w:ascii="Times New Roman" w:hAnsi="Times New Roman" w:cs="Times New Roman"/>
        </w:rPr>
        <w:t>12.40</w:t>
      </w:r>
      <w:r>
        <w:rPr>
          <w:rFonts w:hint="eastAsia" w:ascii="Arial" w:hAnsi="Arial"/>
        </w:rPr>
        <w:t>平方米。</w:t>
      </w:r>
      <w:r>
        <w:rPr>
          <w:rFonts w:hint="eastAsia"/>
        </w:rPr>
        <w:t>其中，公园绿地面积1</w:t>
      </w:r>
      <w:r>
        <w:t>327.09</w:t>
      </w:r>
      <w:r>
        <w:rPr>
          <w:rFonts w:hint="eastAsia"/>
        </w:rPr>
        <w:t>万平方米，人均公园绿地面积</w:t>
      </w:r>
      <w:r>
        <w:t>10.05</w:t>
      </w:r>
      <w:r>
        <w:rPr>
          <w:rFonts w:hint="eastAsia"/>
        </w:rPr>
        <w:t>平方米。</w:t>
      </w:r>
    </w:p>
    <w:p>
      <w:pPr>
        <w:pStyle w:val="4"/>
        <w:tabs>
          <w:tab w:val="left" w:pos="993"/>
          <w:tab w:val="clear" w:pos="1260"/>
        </w:tabs>
        <w:spacing w:before="312"/>
        <w:ind w:left="851" w:hanging="834"/>
      </w:pPr>
      <w:bookmarkStart w:id="257" w:name="_Toc277460772"/>
      <w:bookmarkStart w:id="258" w:name="_Toc275418532"/>
      <w:bookmarkStart w:id="259" w:name="_Toc277460929"/>
      <w:bookmarkStart w:id="260" w:name="_Toc277460615"/>
      <w:r>
        <w:rPr>
          <w:rFonts w:hint="eastAsia"/>
        </w:rPr>
        <w:t>绿地系统结构</w:t>
      </w:r>
      <w:bookmarkEnd w:id="257"/>
      <w:bookmarkEnd w:id="258"/>
      <w:bookmarkEnd w:id="259"/>
      <w:bookmarkEnd w:id="260"/>
    </w:p>
    <w:p>
      <w:pPr>
        <w:spacing w:before="156"/>
        <w:rPr>
          <w:rFonts w:ascii="Arial" w:hAnsi="Arial"/>
        </w:rPr>
      </w:pPr>
      <w:r>
        <w:rPr>
          <w:rFonts w:hint="eastAsia" w:ascii="Arial" w:hAnsi="Arial"/>
        </w:rPr>
        <w:t>规划中心城区形成 “</w:t>
      </w:r>
      <w:r>
        <w:rPr>
          <w:rFonts w:hint="eastAsia"/>
        </w:rPr>
        <w:t>一环、多廊、多园</w:t>
      </w:r>
      <w:r>
        <w:rPr>
          <w:rFonts w:hint="eastAsia" w:ascii="Arial" w:hAnsi="Arial"/>
        </w:rPr>
        <w:t>”的绿地格局。</w:t>
      </w:r>
    </w:p>
    <w:p>
      <w:pPr>
        <w:spacing w:before="156"/>
      </w:pPr>
      <w:r>
        <w:rPr>
          <w:rFonts w:hint="eastAsia"/>
        </w:rPr>
        <w:t>“一环”：城市北、东、南三个方向由乌金山森林公园、环城东路外的丘陵山体及南部潇河生态绿带所共同构成的绿化环。</w:t>
      </w:r>
    </w:p>
    <w:p>
      <w:pPr>
        <w:spacing w:before="156"/>
        <w:rPr>
          <w:rFonts w:ascii="Arial" w:hAnsi="Arial"/>
        </w:rPr>
      </w:pPr>
      <w:r>
        <w:rPr>
          <w:rFonts w:hint="eastAsia" w:ascii="Arial" w:hAnsi="Arial"/>
        </w:rPr>
        <w:t>“多廊”：</w:t>
      </w:r>
      <w:r>
        <w:rPr>
          <w:rFonts w:hint="eastAsia"/>
        </w:rPr>
        <w:t>依托中心城区大型基础设施防护廊道建设多条大型绿化廊道，并结合</w:t>
      </w:r>
      <w:r>
        <w:rPr>
          <w:rFonts w:hint="eastAsia" w:ascii="Arial" w:hAnsi="Arial"/>
        </w:rPr>
        <w:t>城市主干道的绿化带</w:t>
      </w:r>
      <w:r>
        <w:rPr>
          <w:rFonts w:hint="eastAsia"/>
        </w:rPr>
        <w:t>，构建城市绿地总体骨架。</w:t>
      </w:r>
    </w:p>
    <w:p>
      <w:pPr>
        <w:spacing w:before="156"/>
        <w:rPr>
          <w:rFonts w:ascii="Arial" w:hAnsi="Arial"/>
        </w:rPr>
      </w:pPr>
      <w:r>
        <w:rPr>
          <w:rFonts w:hint="eastAsia" w:ascii="Arial" w:hAnsi="Arial"/>
        </w:rPr>
        <w:t>“多园”：</w:t>
      </w:r>
      <w:r>
        <w:rPr>
          <w:rFonts w:hint="eastAsia"/>
        </w:rPr>
        <w:t>城市内部结合各级公共设施中心规划形成多个城市公园，外围结合生态绿地、防护带形成若干大型生态郊野公园。</w:t>
      </w:r>
    </w:p>
    <w:p>
      <w:pPr>
        <w:pStyle w:val="4"/>
        <w:tabs>
          <w:tab w:val="left" w:pos="993"/>
          <w:tab w:val="clear" w:pos="1260"/>
        </w:tabs>
        <w:spacing w:before="312"/>
        <w:ind w:left="851" w:hanging="834"/>
      </w:pPr>
      <w:bookmarkStart w:id="261" w:name="_Toc275418533"/>
      <w:bookmarkStart w:id="262" w:name="_Toc277460616"/>
      <w:bookmarkStart w:id="263" w:name="_Toc277460773"/>
      <w:bookmarkStart w:id="264" w:name="_Toc277460930"/>
      <w:r>
        <w:rPr>
          <w:rFonts w:hint="eastAsia"/>
        </w:rPr>
        <w:t>公园绿地</w:t>
      </w:r>
      <w:bookmarkEnd w:id="261"/>
      <w:bookmarkEnd w:id="262"/>
      <w:bookmarkEnd w:id="263"/>
      <w:bookmarkEnd w:id="264"/>
    </w:p>
    <w:p>
      <w:pPr>
        <w:spacing w:before="156"/>
      </w:pPr>
      <w:bookmarkStart w:id="265" w:name="_Toc277460931"/>
      <w:bookmarkStart w:id="266" w:name="_Toc277460617"/>
      <w:bookmarkStart w:id="267" w:name="_Toc277460774"/>
      <w:r>
        <w:rPr>
          <w:rFonts w:hint="eastAsia"/>
        </w:rPr>
        <w:t>城市公园绿地按“市级－片区级－居住区级”三级划分，注重与各级服务中心相结合。</w:t>
      </w:r>
    </w:p>
    <w:p>
      <w:pPr>
        <w:spacing w:before="156"/>
        <w:rPr>
          <w:b/>
          <w:u w:val="single"/>
        </w:rPr>
      </w:pPr>
      <w:r>
        <w:rPr>
          <w:rFonts w:hint="eastAsia"/>
          <w:b/>
          <w:u w:val="single"/>
        </w:rPr>
        <w:t>规划新建与扩建市级公园6个，包括玉湖公园、晋商公园三、四期、社火公园、南关公园、韩荣公园等。规划新建与扩建片区级公园5个。（详见附表13）</w:t>
      </w:r>
    </w:p>
    <w:p>
      <w:pPr>
        <w:spacing w:before="156"/>
        <w:rPr>
          <w:rFonts w:ascii="Arial" w:hAnsi="Arial"/>
        </w:rPr>
      </w:pPr>
      <w:r>
        <w:rPr>
          <w:rFonts w:hint="eastAsia"/>
        </w:rPr>
        <w:t>规划沿地裂缝两侧各控制建设25米宽的带状公园绿地，在实际城市建设过程中，应根据工程地质详勘所测得的地裂缝实测位置进行调整，绿地保持不变。</w:t>
      </w:r>
    </w:p>
    <w:p>
      <w:pPr>
        <w:spacing w:before="156"/>
      </w:pPr>
      <w:r>
        <w:rPr>
          <w:rFonts w:hint="eastAsia"/>
        </w:rPr>
        <w:t>居住区级公园（包括街头绿地、游园）应均衡分布，便于市民使用，按每3万人至少有一块1.5-3公顷的公共绿地配置，服务半径500-1000米。</w:t>
      </w:r>
    </w:p>
    <w:p>
      <w:pPr>
        <w:pStyle w:val="4"/>
        <w:tabs>
          <w:tab w:val="left" w:pos="993"/>
          <w:tab w:val="clear" w:pos="1260"/>
        </w:tabs>
        <w:spacing w:before="312"/>
        <w:ind w:left="851" w:hanging="834"/>
      </w:pPr>
      <w:r>
        <w:rPr>
          <w:rFonts w:hint="eastAsia"/>
        </w:rPr>
        <w:t>城市滨水带状绿地</w:t>
      </w:r>
    </w:p>
    <w:p>
      <w:pPr>
        <w:spacing w:before="156"/>
      </w:pPr>
      <w:r>
        <w:rPr>
          <w:rFonts w:hint="eastAsia"/>
        </w:rPr>
        <w:t>沿涧河、北干渠等城市内部水系两侧设置2</w:t>
      </w:r>
      <w:r>
        <w:t>0-</w:t>
      </w:r>
      <w:r>
        <w:rPr>
          <w:rFonts w:hint="eastAsia"/>
        </w:rPr>
        <w:t>80米宽带状绿地，作为市民游憩、健身和游客旅游观光的城市绿带，逐步增加配套健身设施和游憩设施，完善景观设计。</w:t>
      </w:r>
    </w:p>
    <w:p>
      <w:pPr>
        <w:pStyle w:val="4"/>
        <w:tabs>
          <w:tab w:val="left" w:pos="993"/>
          <w:tab w:val="clear" w:pos="1260"/>
        </w:tabs>
        <w:spacing w:before="312"/>
        <w:ind w:left="851" w:hanging="834"/>
      </w:pPr>
      <w:r>
        <w:rPr>
          <w:rFonts w:hint="eastAsia"/>
        </w:rPr>
        <w:t>防护绿地</w:t>
      </w:r>
      <w:bookmarkEnd w:id="265"/>
      <w:bookmarkEnd w:id="266"/>
      <w:bookmarkEnd w:id="267"/>
    </w:p>
    <w:p>
      <w:pPr>
        <w:spacing w:before="156"/>
        <w:rPr>
          <w:rFonts w:hAnsi="Arial"/>
          <w:b/>
          <w:u w:val="single"/>
        </w:rPr>
      </w:pPr>
      <w:r>
        <w:rPr>
          <w:rFonts w:hAnsi="Arial"/>
          <w:b/>
          <w:u w:val="single"/>
        </w:rPr>
        <w:t>防护绿地主要分布在铁路、高速公路、快速路及高压线两侧，</w:t>
      </w:r>
      <w:r>
        <w:rPr>
          <w:rFonts w:hint="eastAsia" w:hAnsi="Arial"/>
          <w:b/>
          <w:u w:val="single"/>
        </w:rPr>
        <w:t>其中铁路干线及专用线两侧各控制15-30米宽防护绿带；其他设施</w:t>
      </w:r>
      <w:r>
        <w:rPr>
          <w:rFonts w:hAnsi="Arial"/>
          <w:b/>
          <w:u w:val="single"/>
        </w:rPr>
        <w:t>根据</w:t>
      </w:r>
      <w:r>
        <w:rPr>
          <w:rFonts w:hint="eastAsia" w:hAnsi="Arial"/>
          <w:b/>
          <w:u w:val="single"/>
        </w:rPr>
        <w:t>相应规范要求</w:t>
      </w:r>
      <w:r>
        <w:rPr>
          <w:rFonts w:hAnsi="Arial"/>
          <w:b/>
          <w:u w:val="single"/>
        </w:rPr>
        <w:t>，</w:t>
      </w:r>
      <w:r>
        <w:rPr>
          <w:rFonts w:hint="eastAsia" w:hAnsi="Arial"/>
          <w:b/>
          <w:u w:val="single"/>
        </w:rPr>
        <w:t>防护绿带宽度控制在</w:t>
      </w:r>
      <w:r>
        <w:rPr>
          <w:b/>
          <w:u w:val="single"/>
        </w:rPr>
        <w:t>20</w:t>
      </w:r>
      <w:r>
        <w:rPr>
          <w:rFonts w:hint="eastAsia" w:hAnsi="Arial"/>
          <w:b/>
          <w:u w:val="single"/>
        </w:rPr>
        <w:t>-</w:t>
      </w:r>
      <w:r>
        <w:rPr>
          <w:b/>
          <w:u w:val="single"/>
        </w:rPr>
        <w:t>50</w:t>
      </w:r>
      <w:r>
        <w:rPr>
          <w:rFonts w:hAnsi="Arial"/>
          <w:b/>
          <w:u w:val="single"/>
        </w:rPr>
        <w:t>米</w:t>
      </w:r>
      <w:r>
        <w:rPr>
          <w:rFonts w:hint="eastAsia" w:hAnsi="Arial"/>
          <w:b/>
          <w:u w:val="single"/>
        </w:rPr>
        <w:t>之间</w:t>
      </w:r>
      <w:r>
        <w:rPr>
          <w:rFonts w:hAnsi="Arial"/>
          <w:b/>
          <w:u w:val="single"/>
        </w:rPr>
        <w:t>。</w:t>
      </w:r>
      <w:r>
        <w:rPr>
          <w:rFonts w:hint="eastAsia" w:hAnsi="Arial"/>
          <w:b/>
          <w:u w:val="single"/>
        </w:rPr>
        <w:t>工业区与生活区之间设置20米以上的防护绿带。</w:t>
      </w:r>
    </w:p>
    <w:p>
      <w:pPr>
        <w:spacing w:before="156"/>
        <w:rPr>
          <w:b/>
          <w:u w:val="single"/>
        </w:rPr>
      </w:pPr>
      <w:r>
        <w:rPr>
          <w:rFonts w:hAnsi="Arial"/>
        </w:rPr>
        <w:t>规划到</w:t>
      </w:r>
      <w:r>
        <w:t>2030</w:t>
      </w:r>
      <w:r>
        <w:rPr>
          <w:rFonts w:hAnsi="Arial"/>
        </w:rPr>
        <w:t>年，防护绿地面积</w:t>
      </w:r>
      <w:r>
        <w:t>279.42</w:t>
      </w:r>
      <w:r>
        <w:rPr>
          <w:rFonts w:hAnsi="Arial"/>
        </w:rPr>
        <w:t>公顷，人均防护绿地面积</w:t>
      </w:r>
      <w:r>
        <w:t>2.12</w:t>
      </w:r>
      <w:r>
        <w:rPr>
          <w:rFonts w:hAnsi="Arial"/>
        </w:rPr>
        <w:t>平方米。</w:t>
      </w:r>
    </w:p>
    <w:p>
      <w:pPr>
        <w:pStyle w:val="4"/>
        <w:tabs>
          <w:tab w:val="left" w:pos="993"/>
          <w:tab w:val="clear" w:pos="1260"/>
        </w:tabs>
        <w:spacing w:before="312"/>
        <w:ind w:left="851" w:hanging="834"/>
      </w:pPr>
      <w:r>
        <w:rPr>
          <w:rFonts w:hint="eastAsia"/>
        </w:rPr>
        <w:t>广场用地</w:t>
      </w:r>
    </w:p>
    <w:p>
      <w:pPr>
        <w:spacing w:before="156"/>
        <w:rPr>
          <w:rFonts w:ascii="Arial" w:hAnsi="Arial"/>
          <w:b/>
          <w:u w:val="single"/>
        </w:rPr>
      </w:pPr>
      <w:bookmarkStart w:id="268" w:name="_Toc277460618"/>
      <w:bookmarkStart w:id="269" w:name="_Toc277460932"/>
      <w:bookmarkStart w:id="270" w:name="_Toc277460775"/>
      <w:r>
        <w:rPr>
          <w:rFonts w:hint="eastAsia" w:ascii="Arial" w:hAnsi="Arial"/>
          <w:b/>
          <w:u w:val="single"/>
        </w:rPr>
        <w:t>结合城市重要交通枢纽、大型文化设施、公园绿地及商业中心区规划布局广场，其中规模</w:t>
      </w:r>
      <w:r>
        <w:rPr>
          <w:rFonts w:hint="default" w:ascii="Times New Roman" w:hAnsi="Times New Roman" w:cs="Times New Roman"/>
          <w:b/>
          <w:u w:val="single"/>
        </w:rPr>
        <w:t>2</w:t>
      </w:r>
      <w:r>
        <w:rPr>
          <w:rFonts w:hint="eastAsia" w:ascii="Arial" w:hAnsi="Arial"/>
          <w:b/>
          <w:u w:val="single"/>
        </w:rPr>
        <w:t>公顷以上的广场六处，分别位于晋中站前，迎宾公园以北，迎宾街与中都路西南角，顺城街与中都路西南角，定阳路与广安街东南角，魏榆路与汇阜街西北角。总用地</w:t>
      </w:r>
      <w:r>
        <w:rPr>
          <w:rFonts w:hint="default" w:ascii="Times New Roman" w:hAnsi="Times New Roman" w:cs="Times New Roman"/>
          <w:b/>
          <w:u w:val="single"/>
        </w:rPr>
        <w:t>30.81</w:t>
      </w:r>
      <w:r>
        <w:rPr>
          <w:rFonts w:hint="eastAsia" w:ascii="Arial" w:hAnsi="Arial"/>
          <w:b/>
          <w:u w:val="single"/>
        </w:rPr>
        <w:t>万平方米，人均</w:t>
      </w:r>
      <w:r>
        <w:rPr>
          <w:rFonts w:hint="default" w:ascii="Times New Roman" w:hAnsi="Times New Roman" w:cs="Times New Roman"/>
          <w:b/>
          <w:u w:val="single"/>
        </w:rPr>
        <w:t>0.23</w:t>
      </w:r>
      <w:r>
        <w:rPr>
          <w:rFonts w:hint="eastAsia" w:ascii="Arial" w:hAnsi="Arial"/>
          <w:b/>
          <w:u w:val="single"/>
        </w:rPr>
        <w:t>平方米。</w:t>
      </w:r>
    </w:p>
    <w:p>
      <w:pPr>
        <w:pStyle w:val="4"/>
        <w:tabs>
          <w:tab w:val="left" w:pos="993"/>
          <w:tab w:val="clear" w:pos="1260"/>
        </w:tabs>
        <w:spacing w:before="312"/>
        <w:ind w:left="851" w:hanging="834"/>
      </w:pPr>
      <w:r>
        <w:rPr>
          <w:rFonts w:hint="eastAsia"/>
        </w:rPr>
        <w:t>生态绿地</w:t>
      </w:r>
      <w:bookmarkEnd w:id="268"/>
      <w:bookmarkEnd w:id="269"/>
      <w:bookmarkEnd w:id="270"/>
    </w:p>
    <w:p>
      <w:pPr>
        <w:pStyle w:val="131"/>
        <w:spacing w:before="156"/>
        <w:ind w:left="962" w:hanging="602"/>
        <w:rPr>
          <w:rFonts w:asciiTheme="minorEastAsia" w:hAnsiTheme="minorEastAsia" w:eastAsiaTheme="minorEastAsia"/>
          <w:b/>
          <w:kern w:val="0"/>
          <w:szCs w:val="24"/>
          <w:u w:val="single"/>
        </w:rPr>
      </w:pPr>
      <w:r>
        <w:rPr>
          <w:rFonts w:hint="eastAsia" w:asciiTheme="minorEastAsia" w:hAnsiTheme="minorEastAsia" w:eastAsiaTheme="minorEastAsia"/>
          <w:b/>
          <w:kern w:val="0"/>
          <w:szCs w:val="24"/>
          <w:u w:val="single"/>
        </w:rPr>
        <w:t>（1）郊野公园</w:t>
      </w:r>
    </w:p>
    <w:p>
      <w:pPr>
        <w:spacing w:before="156"/>
        <w:rPr>
          <w:rFonts w:hAnsi="Arial"/>
          <w:b/>
          <w:u w:val="single"/>
        </w:rPr>
      </w:pPr>
      <w:r>
        <w:rPr>
          <w:rFonts w:hint="eastAsia" w:hAnsi="Arial"/>
          <w:b/>
          <w:u w:val="single"/>
        </w:rPr>
        <w:t>规划郊野公园6个，均结合水系与景观资源布局，分别为潇河湿地公园、潇河郊野公园、学府湿地公园、百草坡公园、城北郊野公园、地质公园。</w:t>
      </w:r>
    </w:p>
    <w:p>
      <w:pPr>
        <w:pStyle w:val="131"/>
        <w:spacing w:before="156"/>
        <w:ind w:left="962" w:hanging="602"/>
        <w:rPr>
          <w:rFonts w:asciiTheme="minorEastAsia" w:hAnsiTheme="minorEastAsia" w:eastAsiaTheme="minorEastAsia"/>
          <w:b/>
          <w:kern w:val="0"/>
          <w:szCs w:val="24"/>
          <w:u w:val="single"/>
        </w:rPr>
      </w:pPr>
      <w:r>
        <w:rPr>
          <w:rFonts w:hint="eastAsia" w:asciiTheme="minorEastAsia" w:hAnsiTheme="minorEastAsia" w:eastAsiaTheme="minorEastAsia"/>
          <w:b/>
          <w:kern w:val="0"/>
          <w:szCs w:val="24"/>
          <w:u w:val="single"/>
        </w:rPr>
        <w:t>（2）其他生态绿地</w:t>
      </w:r>
    </w:p>
    <w:p>
      <w:pPr>
        <w:spacing w:before="156"/>
        <w:rPr>
          <w:rFonts w:hAnsi="Arial"/>
          <w:b/>
          <w:u w:val="single"/>
        </w:rPr>
      </w:pPr>
      <w:r>
        <w:rPr>
          <w:rFonts w:hint="eastAsia" w:hAnsi="Arial"/>
          <w:b/>
          <w:u w:val="single"/>
        </w:rPr>
        <w:t>潇河生态绿地：环城南路以南、南同蒲铁路以西地区，潇河两岸形成总宽度700米左右的生态带。生态带内可建设少量游憩服务设施，但应禁止大规模城市建设。</w:t>
      </w:r>
    </w:p>
    <w:p>
      <w:pPr>
        <w:spacing w:before="156"/>
        <w:rPr>
          <w:rFonts w:ascii="Arial" w:hAnsi="Arial"/>
        </w:rPr>
      </w:pPr>
      <w:r>
        <w:rPr>
          <w:rFonts w:hint="eastAsia" w:hAnsi="Arial"/>
          <w:b/>
          <w:u w:val="single"/>
        </w:rPr>
        <w:t>铁西生态绿地：铁西区榆次变电站和500千伏高压走廊周边的安全距离范围内，不宜作为城市建设用地使用，按生态绿地进行管理和控制，规模约100万平方米。</w:t>
      </w:r>
    </w:p>
    <w:p>
      <w:pPr>
        <w:pStyle w:val="3"/>
        <w:spacing w:before="156" w:after="156"/>
        <w:rPr>
          <w:rStyle w:val="52"/>
          <w:color w:val="auto"/>
          <w:u w:val="none"/>
        </w:rPr>
      </w:pPr>
      <w:bookmarkStart w:id="271" w:name="_Toc492850123"/>
      <w:r>
        <w:rPr>
          <w:rStyle w:val="52"/>
          <w:rFonts w:hint="eastAsia"/>
          <w:color w:val="auto"/>
          <w:u w:val="none"/>
        </w:rPr>
        <w:t>第八节 景观风貌规划</w:t>
      </w:r>
      <w:bookmarkEnd w:id="271"/>
    </w:p>
    <w:p>
      <w:pPr>
        <w:pStyle w:val="4"/>
        <w:tabs>
          <w:tab w:val="left" w:pos="993"/>
          <w:tab w:val="clear" w:pos="1260"/>
        </w:tabs>
        <w:spacing w:before="312"/>
        <w:ind w:left="851" w:hanging="834"/>
      </w:pPr>
      <w:bookmarkStart w:id="272" w:name="_Toc277460934"/>
      <w:bookmarkStart w:id="273" w:name="_Toc277460620"/>
      <w:bookmarkStart w:id="274" w:name="_Toc275418535"/>
      <w:bookmarkStart w:id="275" w:name="_Toc277460777"/>
      <w:r>
        <w:rPr>
          <w:rFonts w:hint="eastAsia"/>
        </w:rPr>
        <w:t>规划目标</w:t>
      </w:r>
      <w:bookmarkEnd w:id="272"/>
      <w:bookmarkEnd w:id="273"/>
      <w:bookmarkEnd w:id="274"/>
      <w:bookmarkEnd w:id="275"/>
    </w:p>
    <w:p>
      <w:pPr>
        <w:spacing w:before="156"/>
        <w:rPr>
          <w:rFonts w:ascii="Arial" w:hAnsi="Arial"/>
        </w:rPr>
      </w:pPr>
      <w:r>
        <w:rPr>
          <w:rFonts w:hint="eastAsia" w:ascii="Arial" w:hAnsi="Arial"/>
        </w:rPr>
        <w:t>在梳理城市空间结构特征的基础上，将自然景观要素引入城市，创造特色鲜明、体验丰富、整体和谐的城市景观环境；塑造对人与自然尊重的整体城市意向，通过强化重点地区的景观特质，增强城市空间的可识别性，塑造多样化的和富有活力的城市空间。</w:t>
      </w:r>
    </w:p>
    <w:p>
      <w:pPr>
        <w:pStyle w:val="4"/>
        <w:tabs>
          <w:tab w:val="left" w:pos="993"/>
          <w:tab w:val="clear" w:pos="1260"/>
        </w:tabs>
        <w:spacing w:before="312"/>
        <w:ind w:left="851" w:hanging="834"/>
      </w:pPr>
      <w:bookmarkStart w:id="276" w:name="_Toc277460778"/>
      <w:bookmarkStart w:id="277" w:name="_Toc277460935"/>
      <w:bookmarkStart w:id="278" w:name="_Toc277460621"/>
      <w:bookmarkStart w:id="279" w:name="_Toc275418536"/>
      <w:r>
        <w:rPr>
          <w:rFonts w:hint="eastAsia"/>
        </w:rPr>
        <w:t>城市景观系统结构</w:t>
      </w:r>
      <w:bookmarkEnd w:id="276"/>
      <w:bookmarkEnd w:id="277"/>
      <w:bookmarkEnd w:id="278"/>
      <w:bookmarkEnd w:id="279"/>
    </w:p>
    <w:p>
      <w:pPr>
        <w:spacing w:before="156"/>
        <w:rPr>
          <w:rFonts w:ascii="Arial" w:hAnsi="Arial"/>
        </w:rPr>
      </w:pPr>
      <w:r>
        <w:rPr>
          <w:rFonts w:hint="eastAsia" w:ascii="Arial" w:hAnsi="Arial"/>
        </w:rPr>
        <w:t>中心城区形成“一带、一心、两轴、多节点”的景观结构。</w:t>
      </w:r>
    </w:p>
    <w:p>
      <w:pPr>
        <w:spacing w:before="156"/>
        <w:rPr>
          <w:rFonts w:ascii="Arial" w:hAnsi="Arial"/>
        </w:rPr>
      </w:pPr>
      <w:r>
        <w:rPr>
          <w:rFonts w:hint="eastAsia" w:ascii="Arial" w:hAnsi="Arial"/>
        </w:rPr>
        <w:t>一带：位于城市东南外围以潇河为骨架的生态景观带。</w:t>
      </w:r>
    </w:p>
    <w:p>
      <w:pPr>
        <w:spacing w:before="156"/>
        <w:rPr>
          <w:rFonts w:ascii="Arial" w:hAnsi="Arial"/>
        </w:rPr>
      </w:pPr>
      <w:r>
        <w:rPr>
          <w:rFonts w:hint="eastAsia" w:ascii="Arial" w:hAnsi="Arial"/>
        </w:rPr>
        <w:t>一心：以榆次老城为核心的历史文化景观中心。</w:t>
      </w:r>
    </w:p>
    <w:p>
      <w:pPr>
        <w:spacing w:before="156"/>
        <w:rPr>
          <w:rFonts w:ascii="Arial" w:hAnsi="Arial"/>
        </w:rPr>
      </w:pPr>
      <w:r>
        <w:rPr>
          <w:rFonts w:hint="eastAsia" w:ascii="Arial" w:hAnsi="Arial"/>
        </w:rPr>
        <w:t>两轴：以中都路、迎宾街为骨架的城市景观轴</w:t>
      </w:r>
      <w:r>
        <w:rPr>
          <w:rFonts w:hint="eastAsia" w:ascii="Arial" w:hAnsi="Arial"/>
          <w:lang w:eastAsia="zh-CN"/>
        </w:rPr>
        <w:t>。</w:t>
      </w:r>
    </w:p>
    <w:p>
      <w:pPr>
        <w:spacing w:before="156"/>
        <w:rPr>
          <w:rFonts w:ascii="Arial" w:hAnsi="Arial"/>
        </w:rPr>
      </w:pPr>
      <w:r>
        <w:rPr>
          <w:rFonts w:hint="eastAsia" w:ascii="Arial" w:hAnsi="Arial"/>
        </w:rPr>
        <w:t>多节点：以文化广场商业中心、北城新区行政文化中心、铁西区高铁站为代表的三个城市景观节点和城市外围的三个大型郊野公园景观节点。</w:t>
      </w:r>
    </w:p>
    <w:p>
      <w:pPr>
        <w:pStyle w:val="3"/>
        <w:spacing w:before="156" w:after="156"/>
        <w:rPr>
          <w:rStyle w:val="52"/>
          <w:color w:val="auto"/>
          <w:u w:val="none"/>
        </w:rPr>
      </w:pPr>
      <w:bookmarkStart w:id="280" w:name="_Toc492850124"/>
      <w:r>
        <w:rPr>
          <w:rStyle w:val="52"/>
          <w:rFonts w:hint="eastAsia"/>
          <w:color w:val="auto"/>
          <w:u w:val="none"/>
        </w:rPr>
        <w:t>第九节 开发强度与高度分区</w:t>
      </w:r>
      <w:bookmarkEnd w:id="280"/>
    </w:p>
    <w:p>
      <w:pPr>
        <w:pStyle w:val="4"/>
        <w:tabs>
          <w:tab w:val="left" w:pos="993"/>
          <w:tab w:val="clear" w:pos="1260"/>
        </w:tabs>
        <w:spacing w:before="312"/>
        <w:ind w:left="851" w:hanging="834"/>
      </w:pPr>
      <w:r>
        <w:rPr>
          <w:rFonts w:hint="eastAsia"/>
        </w:rPr>
        <w:t>土地使用强度控制</w:t>
      </w:r>
    </w:p>
    <w:p>
      <w:pPr>
        <w:spacing w:before="156"/>
        <w:rPr>
          <w:rFonts w:ascii="Arial" w:hAnsi="Arial"/>
        </w:rPr>
      </w:pPr>
      <w:r>
        <w:rPr>
          <w:rFonts w:hint="eastAsia" w:ascii="Arial" w:hAnsi="Arial"/>
        </w:rPr>
        <w:t>晋中市中心城区土地使用强度划分为高强度开发区、中强度开发区、低强度开发区等三个不同强度等级。</w:t>
      </w:r>
    </w:p>
    <w:p>
      <w:pPr>
        <w:spacing w:before="156"/>
        <w:rPr>
          <w:rFonts w:ascii="Arial" w:hAnsi="Arial"/>
        </w:rPr>
      </w:pPr>
      <w:r>
        <w:rPr>
          <w:rFonts w:hint="eastAsia" w:ascii="Arial" w:hAnsi="Arial"/>
        </w:rPr>
        <w:t>高强度开发区：主要包括老城区商业中心、北部新区商务区、城西高铁站南侧商业商务区以及中都路、迎宾街、顺城街等道路沿线重要节点周边的商业设施和居住用地。该强度区域内的总体容积率宜控制在</w:t>
      </w:r>
      <w:r>
        <w:rPr>
          <w:rFonts w:hint="default" w:ascii="Times New Roman" w:hAnsi="Times New Roman" w:cs="Times New Roman"/>
        </w:rPr>
        <w:t>3.0-4.5</w:t>
      </w:r>
      <w:r>
        <w:rPr>
          <w:rFonts w:hint="eastAsia" w:ascii="Arial" w:hAnsi="Arial"/>
        </w:rPr>
        <w:t>之间。</w:t>
      </w:r>
    </w:p>
    <w:p>
      <w:pPr>
        <w:spacing w:before="156"/>
        <w:rPr>
          <w:rFonts w:ascii="Arial" w:hAnsi="Arial"/>
        </w:rPr>
      </w:pPr>
      <w:r>
        <w:rPr>
          <w:rFonts w:hint="eastAsia" w:ascii="Arial" w:hAnsi="Arial"/>
        </w:rPr>
        <w:t>中强度开发区：主要包括高强度开发区以外的居住用地及公共设施用地。该强度区内的总体容积率宜控制在</w:t>
      </w:r>
      <w:r>
        <w:rPr>
          <w:rFonts w:hint="default" w:ascii="Times New Roman" w:hAnsi="Times New Roman" w:cs="Times New Roman"/>
        </w:rPr>
        <w:t>1.2-3.0</w:t>
      </w:r>
      <w:r>
        <w:rPr>
          <w:rFonts w:hint="eastAsia" w:ascii="Arial" w:hAnsi="Arial"/>
        </w:rPr>
        <w:t>之间。</w:t>
      </w:r>
    </w:p>
    <w:p>
      <w:pPr>
        <w:spacing w:before="156"/>
        <w:rPr>
          <w:rFonts w:ascii="Arial" w:hAnsi="Arial"/>
        </w:rPr>
      </w:pPr>
      <w:r>
        <w:rPr>
          <w:rFonts w:hint="eastAsia" w:ascii="Arial" w:hAnsi="Arial"/>
        </w:rPr>
        <w:t>低强度开发区：主要包括城市外围的工业用地、仓储用地以及对外交通用地等。该强度区内的总体容积率宜控制在</w:t>
      </w:r>
      <w:r>
        <w:rPr>
          <w:rFonts w:hint="default" w:ascii="Times New Roman" w:hAnsi="Times New Roman" w:cs="Times New Roman"/>
        </w:rPr>
        <w:t>0.8-1.2</w:t>
      </w:r>
      <w:r>
        <w:rPr>
          <w:rFonts w:hint="eastAsia" w:ascii="Arial" w:hAnsi="Arial"/>
        </w:rPr>
        <w:t>之间。</w:t>
      </w:r>
    </w:p>
    <w:p>
      <w:pPr>
        <w:pStyle w:val="4"/>
        <w:tabs>
          <w:tab w:val="left" w:pos="993"/>
          <w:tab w:val="clear" w:pos="1260"/>
        </w:tabs>
        <w:spacing w:before="312"/>
        <w:ind w:left="851" w:hanging="834"/>
      </w:pPr>
      <w:r>
        <w:rPr>
          <w:rFonts w:hint="eastAsia"/>
        </w:rPr>
        <w:t>城市片区高度控制</w:t>
      </w:r>
    </w:p>
    <w:p>
      <w:pPr>
        <w:spacing w:before="156"/>
        <w:rPr>
          <w:rFonts w:ascii="Arial" w:hAnsi="Arial"/>
        </w:rPr>
      </w:pPr>
      <w:r>
        <w:rPr>
          <w:rFonts w:hint="eastAsia" w:ascii="Arial" w:hAnsi="Arial"/>
        </w:rPr>
        <w:t>将中心城区划分为低层主导区、多层主导区、高层主导区三个等级予以控制。</w:t>
      </w:r>
    </w:p>
    <w:p>
      <w:pPr>
        <w:spacing w:before="156"/>
        <w:rPr>
          <w:rFonts w:ascii="Arial" w:hAnsi="Arial"/>
        </w:rPr>
      </w:pPr>
      <w:r>
        <w:rPr>
          <w:rFonts w:hint="eastAsia" w:ascii="Arial" w:hAnsi="Arial"/>
        </w:rPr>
        <w:t>低层主导区：该区域内建筑宜以低层为主，建筑的平均高度宜控制在</w:t>
      </w:r>
      <w:r>
        <w:rPr>
          <w:rFonts w:hint="default" w:ascii="Times New Roman" w:hAnsi="Times New Roman" w:cs="Times New Roman"/>
        </w:rPr>
        <w:t>15</w:t>
      </w:r>
      <w:r>
        <w:rPr>
          <w:rFonts w:hint="eastAsia" w:ascii="Arial" w:hAnsi="Arial"/>
        </w:rPr>
        <w:t>米以内。主要包括榆次老城范围内用地、工业用地、物流仓储用地、广场用地、市政公用设施用地等。</w:t>
      </w:r>
    </w:p>
    <w:p>
      <w:pPr>
        <w:spacing w:before="156"/>
        <w:rPr>
          <w:rFonts w:ascii="Arial" w:hAnsi="Arial"/>
        </w:rPr>
      </w:pPr>
      <w:r>
        <w:rPr>
          <w:rFonts w:hint="eastAsia" w:ascii="Arial" w:hAnsi="Arial"/>
        </w:rPr>
        <w:t>多、高层主导区：该区域内宜控制高层建筑数量，建筑的平均高度控制在</w:t>
      </w:r>
      <w:r>
        <w:rPr>
          <w:rFonts w:hint="default" w:ascii="Times New Roman" w:hAnsi="Times New Roman" w:cs="Times New Roman"/>
        </w:rPr>
        <w:t>15-70</w:t>
      </w:r>
      <w:r>
        <w:rPr>
          <w:rFonts w:hint="eastAsia" w:ascii="Arial" w:hAnsi="Arial"/>
        </w:rPr>
        <w:t>米之间。主要为城市一般居住用地、文化设施用地、娱乐康体用地、医疗卫生用地及教育科研用地。</w:t>
      </w:r>
    </w:p>
    <w:p>
      <w:pPr>
        <w:spacing w:before="156"/>
        <w:rPr>
          <w:rFonts w:ascii="Arial" w:hAnsi="Arial"/>
        </w:rPr>
      </w:pPr>
      <w:r>
        <w:rPr>
          <w:rFonts w:hint="eastAsia" w:ascii="Arial" w:hAnsi="Arial"/>
        </w:rPr>
        <w:t>高层主导区：该区域内可设置高层建筑，建筑的平均高度控制在</w:t>
      </w:r>
      <w:r>
        <w:rPr>
          <w:rFonts w:hint="default" w:ascii="Times New Roman" w:hAnsi="Times New Roman" w:cs="Times New Roman"/>
        </w:rPr>
        <w:t>70-100</w:t>
      </w:r>
      <w:r>
        <w:rPr>
          <w:rFonts w:hint="eastAsia" w:ascii="Arial" w:hAnsi="Arial"/>
        </w:rPr>
        <w:t>米之间。主要位于旧城区核心的商业金融业用地，北部新区的行政办公用地及商业商务集中区域用地、城市片区级公共中心。</w:t>
      </w:r>
    </w:p>
    <w:p>
      <w:pPr>
        <w:pStyle w:val="3"/>
        <w:spacing w:before="156" w:after="156"/>
        <w:rPr>
          <w:rStyle w:val="52"/>
          <w:color w:val="auto"/>
          <w:u w:val="none"/>
        </w:rPr>
      </w:pPr>
      <w:bookmarkStart w:id="281" w:name="_Toc492850125"/>
      <w:r>
        <w:rPr>
          <w:rStyle w:val="52"/>
          <w:rFonts w:hint="eastAsia"/>
          <w:color w:val="auto"/>
          <w:u w:val="none"/>
        </w:rPr>
        <w:t>第十节 旧城更新规划</w:t>
      </w:r>
      <w:bookmarkEnd w:id="281"/>
    </w:p>
    <w:p>
      <w:pPr>
        <w:pStyle w:val="4"/>
        <w:tabs>
          <w:tab w:val="left" w:pos="993"/>
          <w:tab w:val="clear" w:pos="1260"/>
        </w:tabs>
        <w:spacing w:before="312"/>
        <w:ind w:left="851" w:hanging="834"/>
      </w:pPr>
      <w:r>
        <w:rPr>
          <w:rFonts w:hint="eastAsia"/>
        </w:rPr>
        <w:t>旧城更新目标</w:t>
      </w:r>
    </w:p>
    <w:p>
      <w:pPr>
        <w:spacing w:before="156"/>
        <w:rPr>
          <w:rFonts w:ascii="Arial" w:hAnsi="Arial"/>
        </w:rPr>
      </w:pPr>
      <w:r>
        <w:rPr>
          <w:rFonts w:hint="eastAsia" w:ascii="Arial" w:hAnsi="Arial"/>
        </w:rPr>
        <w:t>调整功能结构，疏解部分公共服务职能及人口，降低旧城开发强度，改善旧城整体环境品质。</w:t>
      </w:r>
    </w:p>
    <w:p>
      <w:pPr>
        <w:spacing w:before="156"/>
        <w:rPr>
          <w:rFonts w:ascii="Arial" w:hAnsi="Arial"/>
        </w:rPr>
      </w:pPr>
      <w:r>
        <w:rPr>
          <w:rFonts w:hint="eastAsia" w:ascii="Arial" w:hAnsi="Arial"/>
        </w:rPr>
        <w:t>充分利用榆次老城的文化资源优势，在整体保护老城历史遗存的基础上培育旧城新的经济增长点，实现旧城功能的优化。</w:t>
      </w:r>
    </w:p>
    <w:p>
      <w:pPr>
        <w:spacing w:before="156"/>
        <w:rPr>
          <w:rFonts w:ascii="Arial" w:hAnsi="Arial"/>
        </w:rPr>
      </w:pPr>
      <w:r>
        <w:rPr>
          <w:rFonts w:hint="eastAsia" w:ascii="Arial" w:hAnsi="Arial"/>
        </w:rPr>
        <w:t>提高市政基础设施和环境建设水平，创造体现地域特色的城市景观和生态化的人居环境。</w:t>
      </w:r>
    </w:p>
    <w:p>
      <w:pPr>
        <w:spacing w:before="156"/>
        <w:rPr>
          <w:rFonts w:ascii="Arial" w:hAnsi="Arial"/>
        </w:rPr>
      </w:pPr>
      <w:r>
        <w:rPr>
          <w:rFonts w:hint="eastAsia" w:ascii="Arial" w:hAnsi="Arial"/>
        </w:rPr>
        <w:t>梳理道路结构体系，建设顺畅快捷的道路交通系统。</w:t>
      </w:r>
    </w:p>
    <w:p>
      <w:pPr>
        <w:pStyle w:val="4"/>
        <w:tabs>
          <w:tab w:val="left" w:pos="993"/>
          <w:tab w:val="clear" w:pos="1260"/>
        </w:tabs>
        <w:spacing w:before="312"/>
        <w:ind w:left="851" w:hanging="834"/>
      </w:pPr>
      <w:r>
        <w:rPr>
          <w:rFonts w:hint="eastAsia"/>
        </w:rPr>
        <w:t>旧城更新策略</w:t>
      </w:r>
    </w:p>
    <w:p>
      <w:pPr>
        <w:pStyle w:val="131"/>
        <w:spacing w:before="156"/>
        <w:ind w:left="960"/>
      </w:pPr>
      <w:r>
        <w:rPr>
          <w:rFonts w:hint="eastAsia"/>
        </w:rPr>
        <w:t>（1）优化功能</w:t>
      </w:r>
    </w:p>
    <w:p>
      <w:pPr>
        <w:spacing w:before="156"/>
        <w:rPr>
          <w:rFonts w:ascii="Arial" w:hAnsi="Arial"/>
        </w:rPr>
      </w:pPr>
      <w:r>
        <w:rPr>
          <w:rFonts w:hint="eastAsia" w:ascii="Arial" w:hAnsi="Arial"/>
        </w:rPr>
        <w:t>通过工业用地置换，实施退二进三。</w:t>
      </w:r>
    </w:p>
    <w:p>
      <w:pPr>
        <w:pStyle w:val="131"/>
        <w:spacing w:before="156"/>
        <w:ind w:left="960"/>
      </w:pPr>
      <w:r>
        <w:rPr>
          <w:rFonts w:hint="eastAsia"/>
        </w:rPr>
        <w:t>（2）控制容量</w:t>
      </w:r>
    </w:p>
    <w:p>
      <w:pPr>
        <w:spacing w:before="156"/>
        <w:rPr>
          <w:rFonts w:ascii="Arial" w:hAnsi="Arial"/>
        </w:rPr>
      </w:pPr>
      <w:r>
        <w:rPr>
          <w:rFonts w:hint="eastAsia" w:ascii="Arial" w:hAnsi="Arial"/>
        </w:rPr>
        <w:t>合理</w:t>
      </w:r>
      <w:r>
        <w:rPr>
          <w:rFonts w:ascii="Arial" w:hAnsi="Arial"/>
        </w:rPr>
        <w:t>疏散</w:t>
      </w:r>
      <w:r>
        <w:rPr>
          <w:rFonts w:hint="eastAsia" w:ascii="Arial" w:hAnsi="Arial"/>
        </w:rPr>
        <w:t>旧城</w:t>
      </w:r>
      <w:r>
        <w:rPr>
          <w:rFonts w:ascii="Arial" w:hAnsi="Arial"/>
        </w:rPr>
        <w:t>的居住人口</w:t>
      </w:r>
      <w:r>
        <w:rPr>
          <w:rFonts w:hint="eastAsia" w:ascii="Arial" w:hAnsi="Arial"/>
        </w:rPr>
        <w:t>，</w:t>
      </w:r>
      <w:r>
        <w:rPr>
          <w:rFonts w:ascii="Arial" w:hAnsi="Arial"/>
        </w:rPr>
        <w:t>综合考虑人口结构、社会网络的改善与延续问题，提升</w:t>
      </w:r>
      <w:r>
        <w:rPr>
          <w:rFonts w:hint="eastAsia" w:ascii="Arial" w:hAnsi="Arial"/>
        </w:rPr>
        <w:t>旧城</w:t>
      </w:r>
      <w:r>
        <w:rPr>
          <w:rFonts w:ascii="Arial" w:hAnsi="Arial"/>
        </w:rPr>
        <w:t>就业人口和居住人口的素质。</w:t>
      </w:r>
    </w:p>
    <w:p>
      <w:pPr>
        <w:spacing w:before="156"/>
        <w:rPr>
          <w:rFonts w:ascii="Arial" w:hAnsi="Arial"/>
        </w:rPr>
      </w:pPr>
      <w:r>
        <w:rPr>
          <w:rFonts w:hint="eastAsia" w:ascii="Arial" w:hAnsi="Arial"/>
        </w:rPr>
        <w:t>到规划期末，榆次老城范围内（北至小井巷，东至府兴路，南至思凤街，西至花园路）适宜的居住人口规模应控制在</w:t>
      </w:r>
      <w:r>
        <w:rPr>
          <w:rFonts w:hint="default" w:ascii="Times New Roman" w:hAnsi="Times New Roman" w:cs="Times New Roman"/>
        </w:rPr>
        <w:t>4000</w:t>
      </w:r>
      <w:r>
        <w:rPr>
          <w:rFonts w:hint="eastAsia" w:ascii="Arial" w:hAnsi="Arial"/>
        </w:rPr>
        <w:t>人左右，人口密度约</w:t>
      </w:r>
      <w:r>
        <w:rPr>
          <w:rFonts w:hint="default" w:ascii="Times New Roman" w:hAnsi="Times New Roman" w:cs="Times New Roman"/>
        </w:rPr>
        <w:t>200</w:t>
      </w:r>
      <w:r>
        <w:rPr>
          <w:rFonts w:hint="eastAsia" w:ascii="Arial" w:hAnsi="Arial"/>
        </w:rPr>
        <w:t>人/万平方米（居住用地）；旧城其他区域适宜的居住人口规模应控制在</w:t>
      </w:r>
      <w:r>
        <w:rPr>
          <w:rFonts w:hint="default" w:ascii="Times New Roman" w:hAnsi="Times New Roman" w:cs="Times New Roman"/>
        </w:rPr>
        <w:t>17.5-18.5</w:t>
      </w:r>
      <w:r>
        <w:rPr>
          <w:rFonts w:hint="eastAsia" w:ascii="Arial" w:hAnsi="Arial"/>
        </w:rPr>
        <w:t>万人，人口密度控制在</w:t>
      </w:r>
      <w:r>
        <w:rPr>
          <w:rFonts w:hint="default" w:ascii="Times New Roman" w:hAnsi="Times New Roman" w:cs="Times New Roman"/>
        </w:rPr>
        <w:t>270-290</w:t>
      </w:r>
      <w:r>
        <w:rPr>
          <w:rFonts w:hint="eastAsia" w:ascii="Arial" w:hAnsi="Arial"/>
        </w:rPr>
        <w:t>人/万平方米（居住用地）。</w:t>
      </w:r>
    </w:p>
    <w:p>
      <w:pPr>
        <w:pStyle w:val="4"/>
        <w:tabs>
          <w:tab w:val="left" w:pos="993"/>
          <w:tab w:val="clear" w:pos="1260"/>
        </w:tabs>
        <w:spacing w:before="312"/>
        <w:ind w:left="851" w:hanging="834"/>
      </w:pPr>
      <w:r>
        <w:rPr>
          <w:rFonts w:hint="eastAsia"/>
        </w:rPr>
        <w:t>分区控制</w:t>
      </w:r>
    </w:p>
    <w:p>
      <w:pPr>
        <w:pStyle w:val="131"/>
        <w:spacing w:before="156"/>
        <w:ind w:left="960"/>
      </w:pPr>
      <w:r>
        <w:rPr>
          <w:rFonts w:hint="eastAsia"/>
        </w:rPr>
        <w:t>（1）榆次老城</w:t>
      </w:r>
    </w:p>
    <w:p>
      <w:pPr>
        <w:spacing w:before="156"/>
        <w:rPr>
          <w:rFonts w:ascii="Arial" w:hAnsi="Arial"/>
        </w:rPr>
      </w:pPr>
      <w:r>
        <w:rPr>
          <w:rFonts w:hint="eastAsia" w:ascii="Arial" w:hAnsi="Arial"/>
        </w:rPr>
        <w:t>按照现状资源情况和未来发展目标，将榆次老城改造范围分为两个分区：</w:t>
      </w:r>
    </w:p>
    <w:p>
      <w:pPr>
        <w:spacing w:before="156"/>
        <w:rPr>
          <w:rFonts w:ascii="Arial" w:hAnsi="Arial"/>
        </w:rPr>
      </w:pPr>
      <w:r>
        <w:rPr>
          <w:rFonts w:hint="eastAsia" w:ascii="Arial" w:hAnsi="Arial"/>
        </w:rPr>
        <w:t>历史人文景观核心区：以市楼为核心，以东西南北四条街为骨架的四个街区，面积约</w:t>
      </w:r>
      <w:r>
        <w:rPr>
          <w:rFonts w:hint="default" w:ascii="Times New Roman" w:hAnsi="Times New Roman" w:cs="Times New Roman"/>
        </w:rPr>
        <w:t>35</w:t>
      </w:r>
      <w:r>
        <w:rPr>
          <w:rFonts w:hint="eastAsia" w:ascii="Arial" w:hAnsi="Arial"/>
        </w:rPr>
        <w:t>万平方米。规划以开放式的游园观览为主要公共活动内容，重点发展特色零售商业、餐饮、娱乐功能。市楼西南、东南地块可作为酒店用地进行开发，宜采用园林式设计，建筑的体量、色彩应与核心区的古建筑保持一致。</w:t>
      </w:r>
    </w:p>
    <w:p>
      <w:pPr>
        <w:spacing w:before="156"/>
        <w:rPr>
          <w:rFonts w:ascii="Arial" w:hAnsi="Arial"/>
        </w:rPr>
      </w:pPr>
      <w:r>
        <w:rPr>
          <w:rFonts w:hint="eastAsia" w:ascii="Arial" w:hAnsi="Arial"/>
        </w:rPr>
        <w:t>老城韵味院落生活区：以规划的清虚阁公园为中心，周围的四个街区发展成为富有老城韵味的低密度院落式居住区。面积约</w:t>
      </w:r>
      <w:r>
        <w:rPr>
          <w:rFonts w:hint="default" w:ascii="Times New Roman" w:hAnsi="Times New Roman" w:cs="Times New Roman"/>
        </w:rPr>
        <w:t>48</w:t>
      </w:r>
      <w:r>
        <w:rPr>
          <w:rFonts w:hint="eastAsia" w:ascii="Arial" w:hAnsi="Arial"/>
        </w:rPr>
        <w:t>万平方米。</w:t>
      </w:r>
    </w:p>
    <w:p>
      <w:pPr>
        <w:pStyle w:val="131"/>
        <w:spacing w:before="156"/>
        <w:ind w:left="960"/>
      </w:pPr>
      <w:r>
        <w:rPr>
          <w:rFonts w:hint="eastAsia"/>
        </w:rPr>
        <w:t>（2）晋华纺织厂</w:t>
      </w:r>
    </w:p>
    <w:p>
      <w:pPr>
        <w:spacing w:before="156"/>
        <w:rPr>
          <w:rFonts w:ascii="Arial" w:hAnsi="Arial"/>
        </w:rPr>
      </w:pPr>
      <w:r>
        <w:rPr>
          <w:rFonts w:hint="eastAsia" w:ascii="Arial" w:hAnsi="Arial"/>
        </w:rPr>
        <w:t>规划将晋华纺织厂原址预留为文物古迹用地，按专业部门的要求进行保护，周边街区可开辟为文化创意产业街区。</w:t>
      </w:r>
    </w:p>
    <w:p>
      <w:pPr>
        <w:pStyle w:val="131"/>
        <w:spacing w:before="156"/>
        <w:ind w:left="960"/>
      </w:pPr>
      <w:r>
        <w:rPr>
          <w:rFonts w:hint="eastAsia"/>
        </w:rPr>
        <w:t>（3）其他地区</w:t>
      </w:r>
    </w:p>
    <w:p>
      <w:pPr>
        <w:spacing w:before="156"/>
        <w:rPr>
          <w:rFonts w:ascii="Arial" w:hAnsi="Arial"/>
        </w:rPr>
      </w:pPr>
      <w:r>
        <w:rPr>
          <w:rFonts w:hint="eastAsia" w:ascii="Arial" w:hAnsi="Arial"/>
        </w:rPr>
        <w:t>核心商业提升区：以文化广场为中心，北至迎宾街、南至顺城街的城市核心商业区，主要进行设施升级、环境优化和商业业态的升级。</w:t>
      </w:r>
    </w:p>
    <w:p>
      <w:pPr>
        <w:spacing w:before="156"/>
        <w:rPr>
          <w:rFonts w:ascii="Arial" w:hAnsi="Arial"/>
        </w:rPr>
      </w:pPr>
      <w:r>
        <w:rPr>
          <w:rFonts w:hint="eastAsia" w:ascii="Arial" w:hAnsi="Arial"/>
        </w:rPr>
        <w:t>工业用地置换区：除晋华纺织厂以外的工业用地结合周边地块的开发和改造进行用地置换，规划设计应充分考虑增加公园绿地和公共开敞空间。</w:t>
      </w:r>
    </w:p>
    <w:p>
      <w:pPr>
        <w:spacing w:before="156"/>
        <w:rPr>
          <w:rFonts w:ascii="Arial" w:hAnsi="Arial"/>
        </w:rPr>
      </w:pPr>
      <w:r>
        <w:rPr>
          <w:rFonts w:hint="eastAsia" w:ascii="Arial" w:hAnsi="Arial"/>
        </w:rPr>
        <w:t>城中村：结合国家和地方政府的棚户区改造政策和保障性住房建设要求进行整体更新，按相关标准进行居住区建设。</w:t>
      </w:r>
    </w:p>
    <w:p>
      <w:pPr>
        <w:spacing w:before="156"/>
        <w:rPr>
          <w:rFonts w:ascii="Arial" w:hAnsi="Arial"/>
        </w:rPr>
      </w:pPr>
      <w:r>
        <w:rPr>
          <w:rFonts w:hint="eastAsia" w:ascii="Arial" w:hAnsi="Arial"/>
        </w:rPr>
        <w:t>其他既有住宅区：进行整体环境改造，更新或完善市政设施，增加开敞空间，提高绿化水平。</w:t>
      </w:r>
    </w:p>
    <w:p>
      <w:pPr>
        <w:pStyle w:val="4"/>
        <w:tabs>
          <w:tab w:val="left" w:pos="993"/>
          <w:tab w:val="clear" w:pos="1260"/>
        </w:tabs>
        <w:spacing w:before="312"/>
        <w:ind w:left="851" w:hanging="834"/>
      </w:pPr>
      <w:r>
        <w:rPr>
          <w:rFonts w:hint="eastAsia"/>
        </w:rPr>
        <w:t>改善环境</w:t>
      </w:r>
    </w:p>
    <w:p>
      <w:pPr>
        <w:spacing w:before="156"/>
        <w:rPr>
          <w:rFonts w:ascii="Arial" w:hAnsi="Arial"/>
        </w:rPr>
      </w:pPr>
      <w:r>
        <w:rPr>
          <w:rFonts w:hint="eastAsia" w:ascii="Arial" w:hAnsi="Arial"/>
        </w:rPr>
        <w:t>严格保护现有公园绿地，利用南同蒲铁路南段、石太铁路和货场铁路搬迁，新增公园绿地，完善老城周边绿带，到规划期末实现旧区绿化覆盖率</w:t>
      </w:r>
      <w:r>
        <w:rPr>
          <w:rFonts w:hint="default" w:ascii="Times New Roman" w:hAnsi="Times New Roman" w:cs="Times New Roman"/>
        </w:rPr>
        <w:t>30％</w:t>
      </w:r>
      <w:r>
        <w:rPr>
          <w:rFonts w:hint="eastAsia" w:ascii="Arial" w:hAnsi="Arial"/>
        </w:rPr>
        <w:t>，人均公园绿地面积</w:t>
      </w:r>
      <w:r>
        <w:rPr>
          <w:rFonts w:hint="default" w:ascii="Times New Roman" w:hAnsi="Times New Roman" w:cs="Times New Roman"/>
        </w:rPr>
        <w:t>8.44</w:t>
      </w:r>
      <w:r>
        <w:rPr>
          <w:rFonts w:hint="eastAsia" w:ascii="Arial" w:hAnsi="Arial"/>
        </w:rPr>
        <w:t>平方米。</w:t>
      </w:r>
    </w:p>
    <w:p>
      <w:pPr>
        <w:pStyle w:val="4"/>
        <w:tabs>
          <w:tab w:val="left" w:pos="993"/>
          <w:tab w:val="clear" w:pos="1260"/>
        </w:tabs>
        <w:spacing w:before="312"/>
        <w:ind w:left="851" w:hanging="834"/>
      </w:pPr>
      <w:r>
        <w:rPr>
          <w:rFonts w:hint="eastAsia"/>
        </w:rPr>
        <w:t>完善设施</w:t>
      </w:r>
    </w:p>
    <w:p>
      <w:pPr>
        <w:spacing w:before="156"/>
        <w:rPr>
          <w:rFonts w:ascii="Arial" w:hAnsi="Arial"/>
        </w:rPr>
      </w:pPr>
      <w:r>
        <w:rPr>
          <w:rFonts w:hint="eastAsia" w:ascii="Arial" w:hAnsi="Arial"/>
        </w:rPr>
        <w:t>逐步更新现有市政基础设施，完善缺失的设施，重点是</w:t>
      </w:r>
      <w:r>
        <w:rPr>
          <w:rFonts w:ascii="Arial" w:hAnsi="Arial"/>
        </w:rPr>
        <w:t>水、电、气等系统</w:t>
      </w:r>
      <w:r>
        <w:rPr>
          <w:rFonts w:hint="eastAsia" w:ascii="Arial" w:hAnsi="Arial"/>
        </w:rPr>
        <w:t>。同时，</w:t>
      </w:r>
      <w:r>
        <w:rPr>
          <w:rFonts w:ascii="Arial" w:hAnsi="Arial"/>
        </w:rPr>
        <w:t>制定</w:t>
      </w:r>
      <w:r>
        <w:rPr>
          <w:rFonts w:hint="eastAsia" w:ascii="Arial" w:hAnsi="Arial"/>
        </w:rPr>
        <w:t>旧城</w:t>
      </w:r>
      <w:r>
        <w:rPr>
          <w:rFonts w:ascii="Arial" w:hAnsi="Arial"/>
        </w:rPr>
        <w:t>市政基础设施建设的技术标准和实施办法，积极探索适合旧</w:t>
      </w:r>
      <w:r>
        <w:rPr>
          <w:rFonts w:hint="eastAsia" w:ascii="Arial" w:hAnsi="Arial"/>
        </w:rPr>
        <w:t>城更新</w:t>
      </w:r>
      <w:r>
        <w:rPr>
          <w:rFonts w:ascii="Arial" w:hAnsi="Arial"/>
        </w:rPr>
        <w:t>的市政基础设施建设模式。</w:t>
      </w:r>
    </w:p>
    <w:p>
      <w:pPr>
        <w:pStyle w:val="4"/>
        <w:tabs>
          <w:tab w:val="left" w:pos="993"/>
          <w:tab w:val="clear" w:pos="1260"/>
        </w:tabs>
        <w:spacing w:before="312"/>
        <w:ind w:left="851" w:hanging="834"/>
      </w:pPr>
      <w:r>
        <w:rPr>
          <w:rFonts w:hint="eastAsia"/>
        </w:rPr>
        <w:t>改善交通</w:t>
      </w:r>
    </w:p>
    <w:p>
      <w:pPr>
        <w:spacing w:before="156"/>
        <w:rPr>
          <w:rFonts w:ascii="Arial" w:hAnsi="Arial"/>
        </w:rPr>
      </w:pPr>
      <w:r>
        <w:rPr>
          <w:rFonts w:hint="eastAsia" w:ascii="Arial" w:hAnsi="Arial"/>
        </w:rPr>
        <w:t>优化道路系统，提高路网密度。延伸并拓宽迎宾路、新建路</w:t>
      </w:r>
      <w:r>
        <w:rPr>
          <w:rFonts w:hint="default" w:ascii="Times New Roman" w:hAnsi="Times New Roman" w:cs="Times New Roman"/>
        </w:rPr>
        <w:t>2</w:t>
      </w:r>
      <w:r>
        <w:rPr>
          <w:rFonts w:hint="eastAsia" w:ascii="Arial" w:hAnsi="Arial"/>
        </w:rPr>
        <w:t>条主干路；新增南北向次干路</w:t>
      </w:r>
      <w:r>
        <w:rPr>
          <w:rFonts w:hint="default" w:ascii="Times New Roman" w:hAnsi="Times New Roman" w:cs="Times New Roman"/>
        </w:rPr>
        <w:t>3</w:t>
      </w:r>
      <w:r>
        <w:rPr>
          <w:rFonts w:hint="eastAsia" w:ascii="Arial" w:hAnsi="Arial"/>
        </w:rPr>
        <w:t>条、东西向次干路</w:t>
      </w:r>
      <w:r>
        <w:rPr>
          <w:rFonts w:hint="default" w:ascii="Times New Roman" w:hAnsi="Times New Roman" w:cs="Times New Roman"/>
        </w:rPr>
        <w:t>1</w:t>
      </w:r>
      <w:r>
        <w:rPr>
          <w:rFonts w:hint="eastAsia" w:ascii="Arial" w:hAnsi="Arial"/>
        </w:rPr>
        <w:t>条；新增支路</w:t>
      </w:r>
      <w:r>
        <w:rPr>
          <w:rFonts w:hint="default" w:ascii="Times New Roman" w:hAnsi="Times New Roman" w:cs="Times New Roman"/>
        </w:rPr>
        <w:t>20</w:t>
      </w:r>
      <w:r>
        <w:rPr>
          <w:rFonts w:hint="eastAsia" w:ascii="Arial" w:hAnsi="Arial"/>
        </w:rPr>
        <w:t>条（段）。</w:t>
      </w:r>
    </w:p>
    <w:p>
      <w:pPr>
        <w:spacing w:before="156"/>
        <w:rPr>
          <w:rFonts w:ascii="Arial" w:hAnsi="Arial"/>
        </w:rPr>
      </w:pPr>
      <w:r>
        <w:rPr>
          <w:rFonts w:ascii="Arial" w:hAnsi="Arial"/>
        </w:rPr>
        <w:t>制定</w:t>
      </w:r>
      <w:r>
        <w:rPr>
          <w:rFonts w:hint="eastAsia" w:ascii="Arial" w:hAnsi="Arial"/>
        </w:rPr>
        <w:t>有利于缓解旧城交通压力</w:t>
      </w:r>
      <w:r>
        <w:rPr>
          <w:rFonts w:ascii="Arial" w:hAnsi="Arial"/>
        </w:rPr>
        <w:t>的交通政策，</w:t>
      </w:r>
      <w:r>
        <w:rPr>
          <w:rFonts w:hint="eastAsia" w:ascii="Arial" w:hAnsi="Arial"/>
        </w:rPr>
        <w:t>鼓励公共交通和非机动车交通，优化慢行环境。</w:t>
      </w:r>
    </w:p>
    <w:p>
      <w:pPr>
        <w:spacing w:before="156"/>
        <w:rPr>
          <w:rFonts w:ascii="Arial" w:hAnsi="Arial"/>
        </w:rPr>
      </w:pPr>
      <w:r>
        <w:rPr>
          <w:rFonts w:hint="eastAsia" w:ascii="Arial" w:hAnsi="Arial"/>
        </w:rPr>
        <w:t>保护榆次老城</w:t>
      </w:r>
      <w:r>
        <w:rPr>
          <w:rFonts w:ascii="Arial" w:hAnsi="Arial"/>
        </w:rPr>
        <w:t>传统街道肌理和尺度，</w:t>
      </w:r>
      <w:r>
        <w:rPr>
          <w:rFonts w:hint="eastAsia" w:ascii="Arial" w:hAnsi="Arial"/>
        </w:rPr>
        <w:t>在榆次老城内部限制私人机动车交通，并在其周边建设社会停车场和公交换乘设施</w:t>
      </w:r>
      <w:r>
        <w:rPr>
          <w:rFonts w:ascii="Arial" w:hAnsi="Arial"/>
        </w:rPr>
        <w:t>。</w:t>
      </w:r>
    </w:p>
    <w:p>
      <w:pPr>
        <w:pStyle w:val="3"/>
        <w:spacing w:before="156" w:after="156"/>
        <w:rPr>
          <w:rStyle w:val="52"/>
          <w:color w:val="auto"/>
          <w:u w:val="none"/>
        </w:rPr>
      </w:pPr>
      <w:bookmarkStart w:id="282" w:name="_Toc492850126"/>
      <w:r>
        <w:rPr>
          <w:rStyle w:val="52"/>
          <w:rFonts w:hint="eastAsia"/>
          <w:color w:val="auto"/>
          <w:u w:val="none"/>
        </w:rPr>
        <w:t>第十一节 中心城区综合交通规划</w:t>
      </w:r>
      <w:bookmarkEnd w:id="282"/>
    </w:p>
    <w:p>
      <w:pPr>
        <w:pStyle w:val="4"/>
        <w:tabs>
          <w:tab w:val="left" w:pos="993"/>
          <w:tab w:val="clear" w:pos="1260"/>
        </w:tabs>
        <w:spacing w:before="312"/>
        <w:ind w:left="851" w:hanging="834"/>
      </w:pPr>
      <w:bookmarkStart w:id="283" w:name="_Toc277460623"/>
      <w:bookmarkStart w:id="284" w:name="_Toc277460937"/>
      <w:bookmarkStart w:id="285" w:name="_Toc277460780"/>
      <w:bookmarkStart w:id="286" w:name="_Toc275418538"/>
      <w:r>
        <w:rPr>
          <w:rFonts w:hint="eastAsia"/>
        </w:rPr>
        <w:t>中心城区交通发展目标</w:t>
      </w:r>
      <w:bookmarkEnd w:id="283"/>
      <w:bookmarkEnd w:id="284"/>
      <w:bookmarkEnd w:id="285"/>
      <w:bookmarkEnd w:id="286"/>
    </w:p>
    <w:p>
      <w:pPr>
        <w:spacing w:before="156"/>
        <w:rPr>
          <w:rFonts w:ascii="Arial" w:hAnsi="Arial"/>
        </w:rPr>
      </w:pPr>
      <w:r>
        <w:rPr>
          <w:rFonts w:hint="eastAsia" w:ascii="Arial" w:hAnsi="Arial"/>
        </w:rPr>
        <w:t>构建与晋中城市定位相协调，内外交通一体、设施网络完善、运输组织合理、高效便捷、绿色低碳的综合交通运输体系，引导、支撑城市空间结构和功能布局，提高中心城区竞争力，促进太原—晋中一体化发展，推动榆次、太谷协调区统筹发展。</w:t>
      </w:r>
    </w:p>
    <w:p>
      <w:pPr>
        <w:spacing w:before="156"/>
      </w:pPr>
      <w:r>
        <w:t>规划2030年中心城区公交</w:t>
      </w:r>
      <w:r>
        <w:rPr>
          <w:rFonts w:ascii="Arial" w:hAnsi="Arial"/>
        </w:rPr>
        <w:t>分担</w:t>
      </w:r>
      <w:r>
        <w:t>率达25%-30%。</w:t>
      </w:r>
    </w:p>
    <w:p>
      <w:pPr>
        <w:pStyle w:val="4"/>
        <w:tabs>
          <w:tab w:val="left" w:pos="993"/>
          <w:tab w:val="clear" w:pos="1260"/>
        </w:tabs>
        <w:spacing w:beforeLines="0" w:after="260" w:line="416" w:lineRule="auto"/>
        <w:ind w:left="851" w:hanging="834"/>
      </w:pPr>
      <w:bookmarkStart w:id="287" w:name="_Toc277460624"/>
      <w:bookmarkStart w:id="288" w:name="_Toc275418539"/>
      <w:bookmarkStart w:id="289" w:name="_Toc277460938"/>
      <w:bookmarkStart w:id="290" w:name="_Toc277460781"/>
      <w:r>
        <w:rPr>
          <w:rFonts w:hint="eastAsia"/>
        </w:rPr>
        <w:t>交通发展策略</w:t>
      </w:r>
      <w:bookmarkEnd w:id="287"/>
      <w:bookmarkEnd w:id="288"/>
      <w:bookmarkEnd w:id="289"/>
      <w:bookmarkEnd w:id="290"/>
    </w:p>
    <w:p>
      <w:pPr>
        <w:pStyle w:val="131"/>
        <w:spacing w:before="156"/>
        <w:ind w:left="960"/>
        <w:rPr>
          <w:rFonts w:ascii="宋体" w:hAnsi="宋体"/>
        </w:rPr>
      </w:pPr>
      <w:r>
        <w:rPr>
          <w:rFonts w:hint="eastAsia" w:ascii="宋体" w:hAnsi="宋体"/>
        </w:rPr>
        <w:t>（1）同城发展</w:t>
      </w:r>
    </w:p>
    <w:p>
      <w:pPr>
        <w:spacing w:before="156"/>
        <w:rPr>
          <w:rFonts w:ascii="Arial" w:hAnsi="Arial"/>
        </w:rPr>
      </w:pPr>
      <w:r>
        <w:rPr>
          <w:rFonts w:hint="eastAsia" w:ascii="Arial" w:hAnsi="Arial"/>
        </w:rPr>
        <w:t>明确与太原同城发展的战略，构建一体化的轨道系统、城市快速路网及主干道网络；服务太原盆地城镇密集区一体化发展，紧密联系太谷。</w:t>
      </w:r>
    </w:p>
    <w:p>
      <w:pPr>
        <w:pStyle w:val="131"/>
        <w:spacing w:before="156"/>
        <w:ind w:left="960"/>
        <w:rPr>
          <w:rFonts w:ascii="宋体" w:hAnsi="宋体"/>
        </w:rPr>
      </w:pPr>
      <w:r>
        <w:rPr>
          <w:rFonts w:hint="eastAsia" w:ascii="宋体" w:hAnsi="宋体"/>
        </w:rPr>
        <w:t>（2）构建</w:t>
      </w:r>
      <w:r>
        <w:rPr>
          <w:rFonts w:hint="eastAsia"/>
        </w:rPr>
        <w:t>枢纽</w:t>
      </w:r>
    </w:p>
    <w:p>
      <w:pPr>
        <w:spacing w:before="156"/>
        <w:rPr>
          <w:rFonts w:ascii="Arial" w:hAnsi="Arial"/>
        </w:rPr>
      </w:pPr>
      <w:r>
        <w:rPr>
          <w:rFonts w:hint="eastAsia" w:ascii="Arial" w:hAnsi="Arial"/>
        </w:rPr>
        <w:t>强调枢纽在综合交通运输体系中的作用，协调组织各种集疏运方式，合理布局城市对外交通和城市交通换乘的枢纽场站，有效支撑城市空间拓展。</w:t>
      </w:r>
    </w:p>
    <w:p>
      <w:pPr>
        <w:pStyle w:val="131"/>
        <w:spacing w:before="156"/>
        <w:ind w:left="960"/>
        <w:rPr>
          <w:rFonts w:ascii="宋体" w:hAnsi="宋体"/>
        </w:rPr>
      </w:pPr>
      <w:r>
        <w:rPr>
          <w:rFonts w:hint="eastAsia" w:ascii="宋体" w:hAnsi="宋体"/>
        </w:rPr>
        <w:t>（3）打破</w:t>
      </w:r>
      <w:r>
        <w:rPr>
          <w:rFonts w:hint="eastAsia"/>
        </w:rPr>
        <w:t>瓶颈</w:t>
      </w:r>
    </w:p>
    <w:p>
      <w:pPr>
        <w:spacing w:before="156"/>
        <w:rPr>
          <w:rFonts w:ascii="Arial" w:hAnsi="Arial"/>
        </w:rPr>
      </w:pPr>
      <w:r>
        <w:rPr>
          <w:rFonts w:hint="eastAsia" w:ascii="Arial" w:hAnsi="Arial"/>
        </w:rPr>
        <w:t>优化骨干道路系统布局，完善路网结构，针对现状道路瓶颈，加强城市南北向的交通联系，提高局部地区次干道及支路密度，与城市空间布局及土地利用相协调。</w:t>
      </w:r>
    </w:p>
    <w:p>
      <w:pPr>
        <w:pStyle w:val="131"/>
        <w:spacing w:before="156"/>
        <w:ind w:left="960"/>
        <w:rPr>
          <w:rFonts w:ascii="宋体" w:hAnsi="宋体"/>
        </w:rPr>
      </w:pPr>
      <w:r>
        <w:rPr>
          <w:rFonts w:hint="eastAsia" w:ascii="宋体" w:hAnsi="宋体"/>
        </w:rPr>
        <w:t>（4）公交</w:t>
      </w:r>
      <w:r>
        <w:rPr>
          <w:rFonts w:hint="eastAsia"/>
        </w:rPr>
        <w:t>先行</w:t>
      </w:r>
    </w:p>
    <w:p>
      <w:pPr>
        <w:spacing w:before="156"/>
        <w:rPr>
          <w:rFonts w:ascii="Arial" w:hAnsi="Arial"/>
        </w:rPr>
      </w:pPr>
      <w:r>
        <w:rPr>
          <w:rFonts w:hint="eastAsia" w:ascii="Arial" w:hAnsi="Arial"/>
        </w:rPr>
        <w:t>确立公共交通在城市客运系统中的主体地位，面向中心城区及周边城镇，构建网络完善、服务优质的多层次公交客运系统，引导居民优先使用公共交通方式出行。</w:t>
      </w:r>
    </w:p>
    <w:p>
      <w:pPr>
        <w:pStyle w:val="4"/>
        <w:tabs>
          <w:tab w:val="left" w:pos="993"/>
          <w:tab w:val="clear" w:pos="1260"/>
        </w:tabs>
        <w:spacing w:beforeLines="0" w:after="260" w:line="416" w:lineRule="auto"/>
        <w:ind w:left="851" w:hanging="834"/>
      </w:pPr>
      <w:bookmarkStart w:id="291" w:name="_Toc277460940"/>
      <w:bookmarkStart w:id="292" w:name="_Toc275418542"/>
      <w:bookmarkStart w:id="293" w:name="_Toc277460783"/>
      <w:bookmarkStart w:id="294" w:name="_Toc277460626"/>
      <w:r>
        <w:rPr>
          <w:rFonts w:hint="eastAsia"/>
        </w:rPr>
        <w:t>对外交通系统规划</w:t>
      </w:r>
      <w:bookmarkEnd w:id="291"/>
      <w:bookmarkEnd w:id="292"/>
      <w:bookmarkEnd w:id="293"/>
      <w:bookmarkEnd w:id="294"/>
    </w:p>
    <w:p>
      <w:pPr>
        <w:pStyle w:val="131"/>
        <w:spacing w:before="156"/>
        <w:ind w:left="960"/>
        <w:rPr>
          <w:rFonts w:ascii="宋体" w:hAnsi="宋体"/>
        </w:rPr>
      </w:pPr>
      <w:r>
        <w:rPr>
          <w:rFonts w:hint="eastAsia" w:ascii="宋体" w:hAnsi="宋体"/>
        </w:rPr>
        <w:t>（1）规划铁路枢纽布局</w:t>
      </w:r>
    </w:p>
    <w:p>
      <w:pPr>
        <w:spacing w:before="156"/>
        <w:rPr>
          <w:rFonts w:ascii="Arial" w:hAnsi="Arial"/>
          <w:b/>
          <w:u w:val="single"/>
        </w:rPr>
      </w:pPr>
      <w:r>
        <w:rPr>
          <w:rFonts w:hint="eastAsia" w:ascii="Arial" w:hAnsi="Arial"/>
          <w:b/>
          <w:u w:val="single"/>
        </w:rPr>
        <w:t>规划期建设太原铁路枢纽西南环线、太原至兴县铁路，规划“两客两货一编组”的铁路站场布局：</w:t>
      </w:r>
    </w:p>
    <w:p>
      <w:pPr>
        <w:spacing w:before="156"/>
        <w:rPr>
          <w:rFonts w:ascii="Arial" w:hAnsi="Arial"/>
          <w:b/>
          <w:u w:val="single"/>
        </w:rPr>
      </w:pPr>
      <w:r>
        <w:rPr>
          <w:rFonts w:hint="eastAsia" w:ascii="Arial" w:hAnsi="Arial"/>
          <w:b/>
          <w:u w:val="single"/>
        </w:rPr>
        <w:t>“两客”：即晋中站办理太中银线、大西客专、枢纽环线旅客列车的停站通过作业；榆次站维持现有功能，即办理石太线、南同蒲线、太焦线旅客列车的停站通过作业。</w:t>
      </w:r>
    </w:p>
    <w:p>
      <w:pPr>
        <w:spacing w:before="156"/>
        <w:rPr>
          <w:rFonts w:ascii="Arial" w:hAnsi="Arial"/>
          <w:b/>
          <w:u w:val="single"/>
        </w:rPr>
      </w:pPr>
      <w:r>
        <w:rPr>
          <w:rFonts w:hint="eastAsia" w:ascii="Arial" w:hAnsi="Arial"/>
          <w:b/>
          <w:u w:val="single"/>
        </w:rPr>
        <w:t>“两货”：北六堡站为以办理集装箱作业为主、兼营其它白货作业的综合性货场；修文站为枢纽内办理黑货业务的主要场站。</w:t>
      </w:r>
    </w:p>
    <w:p>
      <w:pPr>
        <w:spacing w:before="156"/>
        <w:rPr>
          <w:rFonts w:ascii="Arial" w:hAnsi="Arial"/>
          <w:b/>
          <w:u w:val="single"/>
        </w:rPr>
      </w:pPr>
      <w:r>
        <w:rPr>
          <w:rFonts w:hint="eastAsia" w:ascii="Arial" w:hAnsi="Arial"/>
          <w:b/>
          <w:u w:val="single"/>
        </w:rPr>
        <w:t>“一编组”：榆次编组站为枢纽内主要编组站。</w:t>
      </w:r>
    </w:p>
    <w:p>
      <w:pPr>
        <w:spacing w:before="156"/>
      </w:pPr>
      <w:r>
        <w:t>远景建设太中银铁路南部货运线，取消中心城区内部的石太线、南同蒲线，取消现榆次站。形成“一客两货一编组”的铁路站场布局：</w:t>
      </w:r>
    </w:p>
    <w:p>
      <w:pPr>
        <w:spacing w:before="156"/>
      </w:pPr>
      <w:r>
        <w:t>“一客”：将太中银线、大西客专、石太线、南同蒲线、太焦线、枢纽环线等旅客列车的停站通过作业集中于晋中站办理；</w:t>
      </w:r>
    </w:p>
    <w:p>
      <w:pPr>
        <w:spacing w:before="156"/>
      </w:pPr>
      <w:r>
        <w:t>“两货”：北六堡站为以办理集装箱作业为主、兼营其它白货作业的综合性货场；修文站为枢纽内办理黑货业务的主要场站。</w:t>
      </w:r>
    </w:p>
    <w:p>
      <w:pPr>
        <w:spacing w:before="156"/>
      </w:pPr>
      <w:r>
        <w:t>“一编组”：</w:t>
      </w:r>
      <w:r>
        <w:rPr>
          <w:rFonts w:ascii="Arial" w:hAnsi="Arial"/>
        </w:rPr>
        <w:t>近期</w:t>
      </w:r>
      <w:r>
        <w:t>保持榆次编组站，远景将其搬迁至城区南部。</w:t>
      </w:r>
    </w:p>
    <w:p>
      <w:pPr>
        <w:pStyle w:val="131"/>
        <w:spacing w:before="156"/>
        <w:ind w:left="960"/>
      </w:pPr>
      <w:r>
        <w:t>（2）公路客运中心布局</w:t>
      </w:r>
    </w:p>
    <w:p>
      <w:pPr>
        <w:spacing w:before="156"/>
        <w:rPr>
          <w:rFonts w:ascii="Arial" w:hAnsi="Arial"/>
          <w:b/>
          <w:u w:val="single"/>
        </w:rPr>
      </w:pPr>
      <w:r>
        <w:rPr>
          <w:rFonts w:ascii="Arial" w:hAnsi="Arial"/>
          <w:b/>
          <w:u w:val="single"/>
        </w:rPr>
        <w:t>在晋中中心城区布局城北客运站、晋中站客运站、城南客运站、城东客运站、潇河公路客运站等</w:t>
      </w:r>
      <w:r>
        <w:rPr>
          <w:rFonts w:hint="default" w:ascii="Times New Roman" w:hAnsi="Times New Roman" w:cs="Times New Roman"/>
          <w:b/>
          <w:u w:val="single"/>
        </w:rPr>
        <w:t>5</w:t>
      </w:r>
      <w:r>
        <w:rPr>
          <w:rFonts w:ascii="Arial" w:hAnsi="Arial"/>
          <w:b/>
          <w:u w:val="single"/>
        </w:rPr>
        <w:t>个公路客运中心站。</w:t>
      </w:r>
    </w:p>
    <w:p>
      <w:pPr>
        <w:spacing w:before="156"/>
        <w:rPr>
          <w:rFonts w:ascii="Arial" w:hAnsi="Arial"/>
          <w:b/>
          <w:u w:val="single"/>
        </w:rPr>
      </w:pPr>
      <w:r>
        <w:rPr>
          <w:rFonts w:ascii="Arial" w:hAnsi="Arial"/>
          <w:b/>
          <w:u w:val="single"/>
        </w:rPr>
        <w:t>城北客运站：通过综合通道、环城西路、龙湖街便捷衔接太旧快速路、榆祁高速，是中心城区发往北向、东向等跨省和跨地市的中、长途公路客运班线的主要站场。</w:t>
      </w:r>
    </w:p>
    <w:p>
      <w:pPr>
        <w:spacing w:before="156"/>
        <w:rPr>
          <w:rFonts w:ascii="Arial" w:hAnsi="Arial"/>
          <w:b/>
          <w:u w:val="single"/>
        </w:rPr>
      </w:pPr>
      <w:r>
        <w:rPr>
          <w:rFonts w:ascii="Arial" w:hAnsi="Arial"/>
          <w:b/>
          <w:u w:val="single"/>
        </w:rPr>
        <w:t>城南客运站：通过环城南路、</w:t>
      </w:r>
      <w:r>
        <w:rPr>
          <w:rFonts w:hint="default" w:ascii="Times New Roman" w:hAnsi="Times New Roman" w:cs="Times New Roman"/>
          <w:b/>
          <w:u w:val="single"/>
        </w:rPr>
        <w:t>G108</w:t>
      </w:r>
      <w:r>
        <w:rPr>
          <w:rFonts w:ascii="Arial" w:hAnsi="Arial"/>
          <w:b/>
          <w:u w:val="single"/>
        </w:rPr>
        <w:t>与榆祁高速、太长快速路衔接，主要发送中心城区至南向、东南向、西向等跨省和跨地市的中、长途公路客运班线。并作为晋中中心城区的旅游集散中心，组织市域旅游客运，开通多条旅游专线。</w:t>
      </w:r>
    </w:p>
    <w:p>
      <w:pPr>
        <w:spacing w:before="156"/>
        <w:rPr>
          <w:rFonts w:ascii="Arial" w:hAnsi="Arial"/>
          <w:b/>
          <w:u w:val="single"/>
        </w:rPr>
      </w:pPr>
      <w:r>
        <w:rPr>
          <w:rFonts w:ascii="Arial" w:hAnsi="Arial"/>
          <w:b/>
          <w:u w:val="single"/>
        </w:rPr>
        <w:t>晋中站客运站：为公铁联运功能的综合性客运枢纽站，与晋中站紧密衔接，主要发送至市域各县及太原盆地城镇密集区的中短途公路客运班线。</w:t>
      </w:r>
    </w:p>
    <w:p>
      <w:pPr>
        <w:spacing w:before="156"/>
        <w:rPr>
          <w:rFonts w:ascii="Arial" w:hAnsi="Arial"/>
          <w:b/>
          <w:u w:val="single"/>
        </w:rPr>
      </w:pPr>
      <w:r>
        <w:rPr>
          <w:rFonts w:ascii="Arial" w:hAnsi="Arial"/>
          <w:b/>
          <w:u w:val="single"/>
        </w:rPr>
        <w:t>城东客运站：通过思凤街、环城东路、</w:t>
      </w:r>
      <w:r>
        <w:rPr>
          <w:rFonts w:hint="default" w:ascii="Times New Roman" w:hAnsi="Times New Roman" w:cs="Times New Roman"/>
          <w:b/>
          <w:u w:val="single"/>
        </w:rPr>
        <w:t>G108</w:t>
      </w:r>
      <w:r>
        <w:rPr>
          <w:rFonts w:ascii="Arial" w:hAnsi="Arial"/>
          <w:b/>
          <w:u w:val="single"/>
        </w:rPr>
        <w:t>与榆祁高速、太旧快速路衔接，主要发送中心城区至东南向及部分东向跨省和跨地市的中、长途公路客运班线。</w:t>
      </w:r>
    </w:p>
    <w:p>
      <w:pPr>
        <w:spacing w:before="156"/>
      </w:pPr>
      <w:r>
        <w:rPr>
          <w:rFonts w:ascii="Arial" w:hAnsi="Arial"/>
          <w:b/>
          <w:u w:val="single"/>
        </w:rPr>
        <w:t>潇河客运站</w:t>
      </w:r>
      <w:r>
        <w:rPr>
          <w:rFonts w:hint="eastAsia" w:ascii="Arial" w:hAnsi="Arial"/>
          <w:b/>
          <w:u w:val="single"/>
        </w:rPr>
        <w:t>：通过小牛街快速路、铁西路衔接对外道路，主要服务潇河组团，发送至太原向、东南向及部分东向的中短途公路客运班线。</w:t>
      </w:r>
    </w:p>
    <w:p>
      <w:pPr>
        <w:pStyle w:val="131"/>
        <w:spacing w:before="156"/>
        <w:ind w:left="960"/>
        <w:rPr>
          <w:rFonts w:ascii="宋体" w:hAnsi="宋体"/>
        </w:rPr>
      </w:pPr>
      <w:r>
        <w:rPr>
          <w:rFonts w:hint="eastAsia" w:ascii="宋体" w:hAnsi="宋体"/>
        </w:rPr>
        <w:t>（3）物流中心</w:t>
      </w:r>
      <w:r>
        <w:rPr>
          <w:rFonts w:hint="eastAsia"/>
        </w:rPr>
        <w:t>布局</w:t>
      </w:r>
    </w:p>
    <w:p>
      <w:pPr>
        <w:spacing w:before="156"/>
        <w:rPr>
          <w:rFonts w:ascii="Arial" w:hAnsi="Arial"/>
          <w:b/>
          <w:u w:val="single"/>
        </w:rPr>
      </w:pPr>
      <w:r>
        <w:rPr>
          <w:rFonts w:hint="eastAsia" w:ascii="Arial" w:hAnsi="Arial"/>
          <w:b/>
          <w:u w:val="single"/>
        </w:rPr>
        <w:t>规划在晋中中心城区布</w:t>
      </w:r>
      <w:r>
        <w:rPr>
          <w:rFonts w:ascii="Arial" w:hAnsi="Arial"/>
          <w:b/>
          <w:u w:val="single"/>
        </w:rPr>
        <w:t>局3</w:t>
      </w:r>
      <w:r>
        <w:rPr>
          <w:rFonts w:hint="eastAsia" w:ascii="Arial" w:hAnsi="Arial"/>
          <w:b/>
          <w:u w:val="single"/>
        </w:rPr>
        <w:t>个物流中心（园区）。</w:t>
      </w:r>
    </w:p>
    <w:p>
      <w:pPr>
        <w:spacing w:before="156"/>
        <w:rPr>
          <w:rFonts w:ascii="Arial" w:hAnsi="Arial"/>
          <w:b/>
          <w:u w:val="single"/>
        </w:rPr>
      </w:pPr>
      <w:r>
        <w:rPr>
          <w:rFonts w:hint="eastAsia" w:ascii="Arial" w:hAnsi="Arial"/>
          <w:b/>
          <w:u w:val="single"/>
        </w:rPr>
        <w:t>北六堡区域性综合物流园区：发展定位为综合性、枢纽型物流园区，衔接并辐射省内外供需的流通枢纽。</w:t>
      </w:r>
    </w:p>
    <w:p>
      <w:pPr>
        <w:spacing w:before="156"/>
        <w:rPr>
          <w:rFonts w:ascii="Arial" w:hAnsi="Arial"/>
          <w:b/>
          <w:u w:val="single"/>
        </w:rPr>
      </w:pPr>
      <w:r>
        <w:rPr>
          <w:rFonts w:hint="eastAsia" w:ascii="Arial" w:hAnsi="Arial"/>
          <w:b/>
          <w:u w:val="single"/>
        </w:rPr>
        <w:t>修文煤焦专业化物流中心：依托修文铁路货运站、潇河起步区，定位为专业物流中心。</w:t>
      </w:r>
    </w:p>
    <w:p>
      <w:pPr>
        <w:spacing w:before="156"/>
        <w:rPr>
          <w:rFonts w:ascii="Arial" w:hAnsi="Arial"/>
          <w:b/>
          <w:u w:val="single"/>
        </w:rPr>
      </w:pPr>
      <w:r>
        <w:rPr>
          <w:rFonts w:hint="eastAsia" w:ascii="Arial" w:hAnsi="Arial"/>
          <w:b/>
          <w:u w:val="single"/>
        </w:rPr>
        <w:t>城东地区性物流中心：依托便利的对外交通条件，衔接北向、东向、南向物流，服务于晋中中心城区生活物资的运输、中转及配送等业务。</w:t>
      </w:r>
    </w:p>
    <w:p>
      <w:pPr>
        <w:pStyle w:val="4"/>
        <w:tabs>
          <w:tab w:val="left" w:pos="993"/>
          <w:tab w:val="clear" w:pos="1260"/>
        </w:tabs>
        <w:spacing w:beforeLines="0" w:after="260" w:line="416" w:lineRule="auto"/>
        <w:ind w:left="851" w:hanging="834"/>
      </w:pPr>
      <w:bookmarkStart w:id="295" w:name="_Toc277460941"/>
      <w:bookmarkStart w:id="296" w:name="_Toc277460627"/>
      <w:bookmarkStart w:id="297" w:name="_Toc277460784"/>
      <w:bookmarkStart w:id="298" w:name="_Toc275418543"/>
      <w:r>
        <w:rPr>
          <w:rFonts w:hint="eastAsia"/>
        </w:rPr>
        <w:t>城市道路系统规划</w:t>
      </w:r>
      <w:bookmarkEnd w:id="295"/>
      <w:bookmarkEnd w:id="296"/>
      <w:bookmarkEnd w:id="297"/>
      <w:bookmarkEnd w:id="298"/>
    </w:p>
    <w:p>
      <w:pPr>
        <w:pStyle w:val="131"/>
        <w:spacing w:before="156"/>
        <w:ind w:left="960"/>
        <w:rPr>
          <w:rFonts w:ascii="宋体" w:hAnsi="宋体"/>
        </w:rPr>
      </w:pPr>
      <w:r>
        <w:rPr>
          <w:rFonts w:hint="eastAsia" w:ascii="宋体" w:hAnsi="宋体"/>
        </w:rPr>
        <w:t>（1）快速路系统布局</w:t>
      </w:r>
    </w:p>
    <w:p>
      <w:pPr>
        <w:spacing w:before="156"/>
        <w:rPr>
          <w:rFonts w:ascii="Arial" w:hAnsi="Arial"/>
          <w:b/>
          <w:u w:val="single"/>
        </w:rPr>
      </w:pPr>
      <w:r>
        <w:rPr>
          <w:rFonts w:hint="eastAsia" w:ascii="Arial" w:hAnsi="Arial"/>
          <w:b/>
          <w:u w:val="single"/>
        </w:rPr>
        <w:t>中心城区形成“四横三纵”的快速路系统，为城市提供跨区域、跨组团的快速交通服务，同时减少穿越交通对主城中心区的干扰和功能组织影响。</w:t>
      </w:r>
    </w:p>
    <w:p>
      <w:pPr>
        <w:spacing w:before="156"/>
        <w:rPr>
          <w:rFonts w:ascii="Arial" w:hAnsi="Arial"/>
          <w:b/>
          <w:u w:val="single"/>
        </w:rPr>
      </w:pPr>
      <w:r>
        <w:rPr>
          <w:rFonts w:hint="eastAsia" w:ascii="Arial" w:hAnsi="Arial"/>
          <w:b/>
          <w:u w:val="single"/>
        </w:rPr>
        <w:t>“四横”即太旧快速路、龙湖街、环城南路、小牛街；</w:t>
      </w:r>
    </w:p>
    <w:p>
      <w:pPr>
        <w:spacing w:before="156"/>
        <w:rPr>
          <w:rFonts w:ascii="Arial" w:hAnsi="Arial"/>
          <w:b/>
          <w:u w:val="single"/>
        </w:rPr>
      </w:pPr>
      <w:r>
        <w:rPr>
          <w:rFonts w:hint="eastAsia" w:ascii="Arial" w:hAnsi="Arial"/>
          <w:b/>
          <w:u w:val="single"/>
        </w:rPr>
        <w:t>“三纵”即综合通道、汇通路</w:t>
      </w:r>
      <w:r>
        <w:rPr>
          <w:rFonts w:ascii="Arial" w:hAnsi="Arial"/>
          <w:b/>
          <w:u w:val="single"/>
        </w:rPr>
        <w:t>、</w:t>
      </w:r>
      <w:r>
        <w:rPr>
          <w:rFonts w:hint="eastAsia" w:ascii="Arial" w:hAnsi="Arial"/>
          <w:b/>
          <w:u w:val="single"/>
        </w:rPr>
        <w:t>环城东路。</w:t>
      </w:r>
    </w:p>
    <w:p>
      <w:pPr>
        <w:pStyle w:val="131"/>
        <w:spacing w:before="156"/>
        <w:ind w:left="960"/>
        <w:rPr>
          <w:rFonts w:ascii="宋体" w:hAnsi="宋体"/>
        </w:rPr>
      </w:pPr>
      <w:r>
        <w:rPr>
          <w:rFonts w:hint="eastAsia" w:ascii="宋体" w:hAnsi="宋体"/>
        </w:rPr>
        <w:t>（2）主干路系统布局</w:t>
      </w:r>
    </w:p>
    <w:p>
      <w:pPr>
        <w:spacing w:before="156"/>
        <w:rPr>
          <w:rFonts w:ascii="Arial" w:hAnsi="Arial"/>
          <w:b/>
          <w:u w:val="single"/>
        </w:rPr>
      </w:pPr>
      <w:r>
        <w:rPr>
          <w:rFonts w:hint="eastAsia" w:ascii="Arial" w:hAnsi="Arial"/>
          <w:b/>
          <w:u w:val="single"/>
        </w:rPr>
        <w:t>规划在晋中中心城区形成“十七纵十八横”的主干路系统，连接城市各个功能分区，与快速路共同构成城市骨干道路系统，成为各片区用地功能布局的重要依托。</w:t>
      </w:r>
    </w:p>
    <w:p>
      <w:pPr>
        <w:spacing w:before="156"/>
        <w:rPr>
          <w:rFonts w:ascii="Arial" w:hAnsi="Arial"/>
        </w:rPr>
      </w:pPr>
      <w:r>
        <w:rPr>
          <w:rFonts w:hint="eastAsia" w:ascii="Arial" w:hAnsi="Arial"/>
          <w:b/>
          <w:u w:val="single"/>
        </w:rPr>
        <w:t>“十七纵”分别为：锦纶路—锦纶北路、中都路、新建路—新建北路、魏榆路、经纬路、王杜路—园区路、环城西路、新站南路、西荣路、太原马练营路南延线、国道环城线、西墕西路、小赵东路、铁东路、铁西路、怀仁东路、长寿西路</w:t>
      </w:r>
    </w:p>
    <w:p>
      <w:pPr>
        <w:spacing w:before="156"/>
        <w:rPr>
          <w:rFonts w:ascii="Arial" w:hAnsi="Arial"/>
          <w:b/>
          <w:u w:val="single"/>
        </w:rPr>
      </w:pPr>
      <w:r>
        <w:rPr>
          <w:rFonts w:hint="eastAsia" w:ascii="Arial" w:hAnsi="Arial"/>
          <w:b/>
          <w:u w:val="single"/>
        </w:rPr>
        <w:t>“十八横”分别为：思凤街、创业街、顺城西街—顺城街、蕴华西街、迎宾街、广安街、杨盘街-汇丰街、文华街、大学街、文津街、鸣谦大街、太原龙城大道东延线、王郝北街、南要南街、滨河北街、滨河南街、东长寿街、小赵南街。</w:t>
      </w:r>
    </w:p>
    <w:p>
      <w:pPr>
        <w:pStyle w:val="131"/>
        <w:spacing w:before="156"/>
        <w:ind w:left="250" w:leftChars="104" w:firstLine="120" w:firstLineChars="50"/>
        <w:rPr>
          <w:rFonts w:ascii="宋体" w:hAnsi="宋体"/>
        </w:rPr>
      </w:pPr>
      <w:r>
        <w:rPr>
          <w:rFonts w:hint="eastAsia" w:ascii="宋体" w:hAnsi="宋体"/>
        </w:rPr>
        <w:t>（3）次干路系统布局</w:t>
      </w:r>
    </w:p>
    <w:p>
      <w:pPr>
        <w:spacing w:before="156"/>
        <w:rPr>
          <w:rFonts w:ascii="Arial" w:hAnsi="Arial"/>
        </w:rPr>
      </w:pPr>
      <w:r>
        <w:rPr>
          <w:rFonts w:hint="eastAsia" w:ascii="Arial" w:hAnsi="Arial"/>
        </w:rPr>
        <w:t>在各组团建立疏密得当、布局合理的次干道系统，作为组团内部交通的集散通道。</w:t>
      </w:r>
    </w:p>
    <w:p>
      <w:pPr>
        <w:pStyle w:val="131"/>
        <w:spacing w:before="156"/>
        <w:ind w:left="960"/>
        <w:rPr>
          <w:rFonts w:ascii="宋体" w:hAnsi="宋体"/>
        </w:rPr>
      </w:pPr>
      <w:r>
        <w:rPr>
          <w:rFonts w:hint="eastAsia" w:ascii="宋体" w:hAnsi="宋体"/>
        </w:rPr>
        <w:t>（4）对外交通道路布局</w:t>
      </w:r>
    </w:p>
    <w:p>
      <w:pPr>
        <w:spacing w:before="156"/>
        <w:rPr>
          <w:rFonts w:ascii="Arial" w:hAnsi="Arial"/>
        </w:rPr>
      </w:pPr>
      <w:r>
        <w:rPr>
          <w:rFonts w:hint="eastAsia" w:ascii="Arial" w:hAnsi="Arial"/>
        </w:rPr>
        <w:t>形成太原—晋中都市区高速公路环线，外移公路过境通道，形成对外公路东南半环，构成晋中中心城区过境交通主通道与进出城交通主要衔接走廊。规划加强中心城区骨干路网与高速公路及普通公路系统的衔接。</w:t>
      </w:r>
    </w:p>
    <w:p>
      <w:pPr>
        <w:pStyle w:val="131"/>
        <w:spacing w:before="156"/>
        <w:ind w:left="960"/>
        <w:rPr>
          <w:rFonts w:ascii="宋体" w:hAnsi="宋体"/>
        </w:rPr>
      </w:pPr>
      <w:r>
        <w:rPr>
          <w:rFonts w:hint="eastAsia" w:ascii="宋体" w:hAnsi="宋体"/>
        </w:rPr>
        <w:t>（5）</w:t>
      </w:r>
      <w:r>
        <w:rPr>
          <w:rFonts w:hint="eastAsia"/>
        </w:rPr>
        <w:t>道路网密度</w:t>
      </w:r>
    </w:p>
    <w:p>
      <w:pPr>
        <w:spacing w:before="156"/>
      </w:pPr>
      <w:r>
        <w:t>规划期末，</w:t>
      </w:r>
      <w:r>
        <w:rPr>
          <w:rFonts w:ascii="Arial" w:hAnsi="Arial"/>
        </w:rPr>
        <w:t>晋中</w:t>
      </w:r>
      <w:r>
        <w:t>中心城区快速路密度应达到0.3千米/平方公里以上；主干路密度应达到0.95千米/平方公里以上；次干路密度应达到1.2千米/平方公里以上。</w:t>
      </w:r>
    </w:p>
    <w:p>
      <w:pPr>
        <w:pStyle w:val="4"/>
        <w:tabs>
          <w:tab w:val="left" w:pos="993"/>
          <w:tab w:val="clear" w:pos="1260"/>
        </w:tabs>
        <w:spacing w:beforeLines="0" w:after="260" w:line="416" w:lineRule="auto"/>
        <w:ind w:left="851" w:hanging="834"/>
      </w:pPr>
      <w:bookmarkStart w:id="299" w:name="_Toc277460628"/>
      <w:bookmarkStart w:id="300" w:name="_Toc275418544"/>
      <w:bookmarkStart w:id="301" w:name="_Toc277460785"/>
      <w:bookmarkStart w:id="302" w:name="_Toc277460942"/>
      <w:r>
        <w:rPr>
          <w:rFonts w:hint="eastAsia"/>
        </w:rPr>
        <w:t>公交系统规划</w:t>
      </w:r>
      <w:bookmarkEnd w:id="299"/>
      <w:bookmarkEnd w:id="300"/>
      <w:bookmarkEnd w:id="301"/>
      <w:bookmarkEnd w:id="302"/>
    </w:p>
    <w:p>
      <w:pPr>
        <w:pStyle w:val="131"/>
        <w:spacing w:before="156"/>
        <w:ind w:left="960"/>
        <w:rPr>
          <w:rFonts w:ascii="宋体" w:hAnsi="宋体"/>
        </w:rPr>
      </w:pPr>
      <w:r>
        <w:rPr>
          <w:rFonts w:hint="eastAsia" w:ascii="宋体" w:hAnsi="宋体"/>
        </w:rPr>
        <w:t>（1）公交发展</w:t>
      </w:r>
      <w:r>
        <w:rPr>
          <w:rFonts w:hint="eastAsia"/>
        </w:rPr>
        <w:t>目标</w:t>
      </w:r>
    </w:p>
    <w:p>
      <w:pPr>
        <w:spacing w:before="156"/>
        <w:rPr>
          <w:rFonts w:ascii="Arial" w:hAnsi="Arial"/>
        </w:rPr>
      </w:pPr>
      <w:r>
        <w:rPr>
          <w:rFonts w:hint="eastAsia" w:ascii="Arial" w:hAnsi="Arial"/>
        </w:rPr>
        <w:t>构建“服务高效、出行舒适、换乘便捷”的公共交通客运体系，提升公交吸引力，于规划期末基本确立公共交通在城市客运系统中的主体地位。</w:t>
      </w:r>
    </w:p>
    <w:p>
      <w:pPr>
        <w:spacing w:before="156"/>
        <w:rPr>
          <w:rFonts w:ascii="Arial" w:hAnsi="Arial"/>
        </w:rPr>
      </w:pPr>
      <w:r>
        <w:rPr>
          <w:rFonts w:hint="eastAsia" w:ascii="Arial" w:hAnsi="Arial"/>
        </w:rPr>
        <w:t>规划期末中心城区公交发展达到以下目标：</w:t>
      </w:r>
    </w:p>
    <w:p>
      <w:pPr>
        <w:spacing w:before="156"/>
      </w:pPr>
      <w:r>
        <w:t>公交车辆</w:t>
      </w:r>
      <w:r>
        <w:rPr>
          <w:rFonts w:ascii="Arial" w:hAnsi="Arial"/>
        </w:rPr>
        <w:t>达到</w:t>
      </w:r>
      <w:r>
        <w:t>1500标台，万人公交车拥有率不低于12标台；</w:t>
      </w:r>
    </w:p>
    <w:p>
      <w:pPr>
        <w:spacing w:before="156"/>
      </w:pPr>
      <w:r>
        <w:t>提高公交出行比例，规划期末中心城区公交出行分担率提高至25—30%</w:t>
      </w:r>
      <w:r>
        <w:rPr>
          <w:rFonts w:hint="eastAsia"/>
        </w:rPr>
        <w:t>，其中轨道交通出行量达到公交出行总量的45%-50%</w:t>
      </w:r>
      <w:r>
        <w:t>；</w:t>
      </w:r>
    </w:p>
    <w:p>
      <w:pPr>
        <w:spacing w:before="156"/>
      </w:pPr>
      <w:r>
        <w:t>提高公交线网覆盖率，公交线网密度中心区达到3.5千米/平方公里以上，外围区达到2.0千米/平方公里以上；</w:t>
      </w:r>
    </w:p>
    <w:p>
      <w:pPr>
        <w:spacing w:before="156"/>
      </w:pPr>
      <w:r>
        <w:t>公交站点300m覆盖率达到</w:t>
      </w:r>
      <w:r>
        <w:rPr>
          <w:rFonts w:hint="default" w:ascii="Times New Roman" w:hAnsi="Times New Roman" w:cs="Times New Roman"/>
        </w:rPr>
        <w:t>70％</w:t>
      </w:r>
      <w:r>
        <w:t>以上，500m覆盖率达到90％以上；</w:t>
      </w:r>
    </w:p>
    <w:p>
      <w:pPr>
        <w:spacing w:before="156"/>
      </w:pPr>
      <w:r>
        <w:t>完善公交优先措施，确保公交出行时间在合理范围，高峰时间90%单程</w:t>
      </w:r>
      <w:r>
        <w:rPr>
          <w:rFonts w:ascii="Arial" w:hAnsi="Arial"/>
        </w:rPr>
        <w:t>公交</w:t>
      </w:r>
      <w:r>
        <w:t>最大出行时耗不超过40分钟；</w:t>
      </w:r>
    </w:p>
    <w:p>
      <w:pPr>
        <w:spacing w:before="156"/>
      </w:pPr>
      <w:r>
        <w:t>出租车总量控制在2400辆左右。</w:t>
      </w:r>
    </w:p>
    <w:p>
      <w:pPr>
        <w:pStyle w:val="131"/>
        <w:spacing w:before="156"/>
        <w:ind w:left="960"/>
        <w:rPr>
          <w:rFonts w:ascii="宋体" w:hAnsi="宋体"/>
        </w:rPr>
      </w:pPr>
      <w:r>
        <w:rPr>
          <w:rFonts w:hint="eastAsia" w:ascii="宋体" w:hAnsi="宋体"/>
        </w:rPr>
        <w:t>（2）轨道交通系统布局规划</w:t>
      </w:r>
    </w:p>
    <w:p>
      <w:pPr>
        <w:spacing w:before="156"/>
      </w:pPr>
      <w:r>
        <w:rPr>
          <w:rFonts w:hint="eastAsia"/>
        </w:rPr>
        <w:t>晋中中心城区</w:t>
      </w:r>
      <w:r>
        <w:t>建设多条轨道交通线与太原中心城区轨道交通系统衔接。</w:t>
      </w:r>
    </w:p>
    <w:p>
      <w:pPr>
        <w:spacing w:before="156"/>
      </w:pPr>
      <w:r>
        <w:t>Y1号线：与太原</w:t>
      </w:r>
      <w:r>
        <w:rPr>
          <w:rFonts w:hint="eastAsia"/>
        </w:rPr>
        <w:t>1号线衔接，</w:t>
      </w:r>
      <w:r>
        <w:t>由枣园路南延，跨太旧快速路并沿铁路东侧至文华街，沿文华街向东至中都北路，</w:t>
      </w:r>
      <w:r>
        <w:rPr>
          <w:rFonts w:hint="eastAsia"/>
        </w:rPr>
        <w:t>沿中都北路向南经中都路至顺城街，沿顺城街向东至锦纶路，沿锦纶路向南至城东客运站枢纽。</w:t>
      </w:r>
    </w:p>
    <w:p>
      <w:pPr>
        <w:spacing w:before="156"/>
      </w:pPr>
      <w:r>
        <w:t>Y2号线</w:t>
      </w:r>
      <w:r>
        <w:rPr>
          <w:rFonts w:hint="eastAsia"/>
        </w:rPr>
        <w:t>：衔接太原2号线，由小店向东延伸沿迎宾街向东延伸至城区东端。</w:t>
      </w:r>
    </w:p>
    <w:p>
      <w:pPr>
        <w:spacing w:before="156"/>
      </w:pPr>
      <w:r>
        <w:t>Y6号线</w:t>
      </w:r>
      <w:r>
        <w:rPr>
          <w:rFonts w:hint="eastAsia"/>
        </w:rPr>
        <w:t>：</w:t>
      </w:r>
      <w:r>
        <w:t>由太原</w:t>
      </w:r>
      <w:r>
        <w:rPr>
          <w:rFonts w:hint="eastAsia"/>
        </w:rPr>
        <w:t>6号线在龙湖大街引入，并延伸至城区东端。</w:t>
      </w:r>
    </w:p>
    <w:p>
      <w:pPr>
        <w:spacing w:before="156"/>
      </w:pPr>
      <w:r>
        <w:rPr>
          <w:rFonts w:hint="eastAsia"/>
        </w:rPr>
        <w:t>Z</w:t>
      </w:r>
      <w:r>
        <w:t>1号线</w:t>
      </w:r>
      <w:r>
        <w:rPr>
          <w:rFonts w:hint="eastAsia"/>
        </w:rPr>
        <w:t>：在潇河产业园区北部</w:t>
      </w:r>
      <w:r>
        <w:t>与太原共建</w:t>
      </w:r>
      <w:r>
        <w:rPr>
          <w:rFonts w:hint="eastAsia"/>
        </w:rPr>
        <w:t>，连接潇河产业园区太原起步区和晋中起步区。</w:t>
      </w:r>
    </w:p>
    <w:p>
      <w:pPr>
        <w:spacing w:before="156"/>
      </w:pPr>
      <w:r>
        <w:t>Z4号线</w:t>
      </w:r>
      <w:r>
        <w:rPr>
          <w:rFonts w:hint="eastAsia"/>
        </w:rPr>
        <w:t>：太原1号线的向南延伸线，经晋中站沿综合通道向南延伸至潇河产业园区晋中起步区西侧。</w:t>
      </w:r>
    </w:p>
    <w:p>
      <w:pPr>
        <w:spacing w:before="156"/>
      </w:pPr>
      <w:r>
        <w:t>Z5号线</w:t>
      </w:r>
      <w:r>
        <w:rPr>
          <w:rFonts w:hint="eastAsia"/>
        </w:rPr>
        <w:t>：</w:t>
      </w:r>
      <w:r>
        <w:t>晋中Y1号线</w:t>
      </w:r>
      <w:r>
        <w:rPr>
          <w:rFonts w:hint="eastAsia"/>
        </w:rPr>
        <w:t>经潇河湿地公园延伸至潇河产业园区晋中起步区东侧。</w:t>
      </w:r>
    </w:p>
    <w:p>
      <w:pPr>
        <w:spacing w:before="156"/>
      </w:pPr>
      <w:r>
        <w:t>在Y1号线、Y2号线延伸线末端规划预留综合维修基地、车辆段和停车场。</w:t>
      </w:r>
    </w:p>
    <w:p>
      <w:pPr>
        <w:pStyle w:val="131"/>
        <w:spacing w:before="156"/>
        <w:ind w:left="960"/>
      </w:pPr>
      <w:r>
        <w:rPr>
          <w:rFonts w:hint="eastAsia"/>
        </w:rPr>
        <w:t>（3）公交优先系统布局规划</w:t>
      </w:r>
    </w:p>
    <w:p>
      <w:pPr>
        <w:spacing w:before="156"/>
        <w:rPr>
          <w:rFonts w:ascii="Arial" w:hAnsi="Arial"/>
        </w:rPr>
      </w:pPr>
      <w:r>
        <w:rPr>
          <w:rFonts w:hint="eastAsia" w:ascii="Arial" w:hAnsi="Arial"/>
        </w:rPr>
        <w:t>规划在晋中中心城区内布局“六横三纵”的公交客运走廊系统。</w:t>
      </w:r>
    </w:p>
    <w:p>
      <w:pPr>
        <w:spacing w:before="156"/>
        <w:rPr>
          <w:rFonts w:ascii="Arial" w:hAnsi="Arial"/>
        </w:rPr>
      </w:pPr>
      <w:r>
        <w:rPr>
          <w:rFonts w:hint="eastAsia" w:ascii="Arial" w:hAnsi="Arial"/>
        </w:rPr>
        <w:t>“六横”即</w:t>
      </w:r>
      <w:r>
        <w:rPr>
          <w:rFonts w:hint="eastAsia" w:ascii="宋体" w:hAnsi="宋体"/>
        </w:rPr>
        <w:t>顺城西街—顺城街、迎宾西街—迎宾街、龙湖街、大学街、小牛街、东长寿街走廊</w:t>
      </w:r>
      <w:r>
        <w:rPr>
          <w:rFonts w:hint="eastAsia" w:ascii="Arial" w:hAnsi="Arial"/>
        </w:rPr>
        <w:t>；</w:t>
      </w:r>
    </w:p>
    <w:p>
      <w:pPr>
        <w:spacing w:before="156"/>
        <w:rPr>
          <w:rFonts w:ascii="Arial" w:hAnsi="Arial"/>
        </w:rPr>
      </w:pPr>
      <w:r>
        <w:rPr>
          <w:rFonts w:hint="eastAsia" w:ascii="Arial" w:hAnsi="Arial"/>
        </w:rPr>
        <w:t>“三纵”即汇通路—汇通南路、中都路—中都北路、环城西路（现</w:t>
      </w:r>
      <w:r>
        <w:rPr>
          <w:rFonts w:hint="default" w:ascii="Times New Roman" w:hAnsi="Times New Roman" w:cs="Times New Roman"/>
        </w:rPr>
        <w:t>G108</w:t>
      </w:r>
      <w:r>
        <w:rPr>
          <w:rFonts w:hint="eastAsia" w:ascii="Arial" w:hAnsi="Arial"/>
        </w:rPr>
        <w:t>）走廊。</w:t>
      </w:r>
    </w:p>
    <w:p>
      <w:pPr>
        <w:spacing w:before="156"/>
        <w:rPr>
          <w:rFonts w:ascii="Arial" w:hAnsi="Arial"/>
        </w:rPr>
      </w:pPr>
      <w:r>
        <w:rPr>
          <w:rFonts w:hint="eastAsia" w:ascii="Arial" w:hAnsi="Arial"/>
        </w:rPr>
        <w:t>规划在“六横三纵”公交客运走廊上实行公交专用道系统。</w:t>
      </w:r>
    </w:p>
    <w:p>
      <w:pPr>
        <w:spacing w:before="156"/>
      </w:pPr>
      <w:r>
        <w:t>伴随轨道交通系统建设，可逐步取消轨道线路地面上的公交优先系统。在1号线、2号线、3号</w:t>
      </w:r>
      <w:r>
        <w:rPr>
          <w:rFonts w:hint="eastAsia"/>
        </w:rPr>
        <w:t>线</w:t>
      </w:r>
      <w:r>
        <w:t>、</w:t>
      </w:r>
      <w:r>
        <w:rPr>
          <w:rFonts w:hint="eastAsia"/>
        </w:rPr>
        <w:t>Z1线</w:t>
      </w:r>
      <w:r>
        <w:rPr>
          <w:rFonts w:hint="eastAsia"/>
          <w:lang w:val="en-US" w:eastAsia="zh-CN"/>
        </w:rPr>
        <w:t>建</w:t>
      </w:r>
      <w:r>
        <w:t>成后，晋中中心城区保留“两纵</w:t>
      </w:r>
      <w:r>
        <w:rPr>
          <w:rFonts w:hint="eastAsia"/>
        </w:rPr>
        <w:t>三</w:t>
      </w:r>
      <w:r>
        <w:t>横”：汇通路、环城西路（现G108）、大学街、顺城西街、小牛街走廊的地面公交优先通道。</w:t>
      </w:r>
    </w:p>
    <w:p>
      <w:pPr>
        <w:spacing w:before="156"/>
        <w:ind w:left="1200" w:leftChars="500"/>
        <w:rPr>
          <w:rFonts w:ascii="Arial" w:hAnsi="Arial"/>
        </w:rPr>
      </w:pPr>
    </w:p>
    <w:p>
      <w:pPr>
        <w:pStyle w:val="131"/>
        <w:spacing w:before="156"/>
        <w:ind w:left="960"/>
        <w:rPr>
          <w:rFonts w:ascii="宋体" w:hAnsi="宋体"/>
        </w:rPr>
      </w:pPr>
      <w:r>
        <w:rPr>
          <w:rFonts w:hint="eastAsia" w:ascii="宋体" w:hAnsi="宋体"/>
        </w:rPr>
        <w:t>（4）公交枢纽布局规划</w:t>
      </w:r>
    </w:p>
    <w:p>
      <w:pPr>
        <w:spacing w:before="156"/>
        <w:rPr>
          <w:rFonts w:ascii="Arial" w:hAnsi="Arial"/>
          <w:b/>
          <w:u w:val="single"/>
        </w:rPr>
      </w:pPr>
      <w:r>
        <w:rPr>
          <w:rFonts w:hint="eastAsia" w:ascii="Arial" w:hAnsi="Arial"/>
          <w:b/>
          <w:u w:val="single"/>
        </w:rPr>
        <w:t>规划在晋中中心城区布局公交枢纽</w:t>
      </w:r>
      <w:r>
        <w:rPr>
          <w:rFonts w:ascii="Arial" w:hAnsi="Arial"/>
          <w:b/>
          <w:u w:val="single"/>
        </w:rPr>
        <w:t>8</w:t>
      </w:r>
      <w:r>
        <w:rPr>
          <w:rFonts w:hint="eastAsia" w:ascii="Arial" w:hAnsi="Arial"/>
          <w:b/>
          <w:u w:val="single"/>
        </w:rPr>
        <w:t>个：</w:t>
      </w:r>
    </w:p>
    <w:p>
      <w:pPr>
        <w:spacing w:before="156"/>
        <w:rPr>
          <w:rFonts w:ascii="Arial" w:hAnsi="Arial"/>
          <w:b/>
          <w:u w:val="single"/>
        </w:rPr>
      </w:pPr>
      <w:r>
        <w:rPr>
          <w:rFonts w:hint="eastAsia" w:ascii="Arial" w:hAnsi="Arial"/>
          <w:b/>
          <w:u w:val="single"/>
        </w:rPr>
        <w:t>与晋中站、城北公路客运站、城南公路客运站、城东客运站等相衔接，一体化布局公交枢纽4个，保障内外交通高效转换，晋中站公交枢纽、城南公路客运站公交枢纽、城东客运站公交枢纽同时兼顾城乡客运衔接；</w:t>
      </w:r>
    </w:p>
    <w:p>
      <w:pPr>
        <w:spacing w:before="156"/>
        <w:rPr>
          <w:rFonts w:ascii="Arial" w:hAnsi="Arial"/>
          <w:b/>
          <w:u w:val="single"/>
        </w:rPr>
      </w:pPr>
      <w:r>
        <w:rPr>
          <w:rFonts w:hint="eastAsia" w:ascii="Arial" w:hAnsi="Arial"/>
          <w:b/>
          <w:u w:val="single"/>
        </w:rPr>
        <w:t>在迎宾街（现榆次站），规划布局服务现有城市中心区的公交枢纽；</w:t>
      </w:r>
    </w:p>
    <w:p>
      <w:pPr>
        <w:spacing w:before="156"/>
        <w:rPr>
          <w:rFonts w:ascii="Arial" w:hAnsi="Arial"/>
          <w:b/>
          <w:u w:val="single"/>
        </w:rPr>
      </w:pPr>
      <w:r>
        <w:rPr>
          <w:rFonts w:hint="eastAsia" w:ascii="Arial" w:hAnsi="Arial"/>
          <w:b/>
          <w:u w:val="single"/>
        </w:rPr>
        <w:t>在北部新城，布局公交枢纽，增强新城中心面向中心城区主要客流集散点的公交线路布设，促进并支撑新市中心功能的形成和发展，同时兼顾城乡客运衔接；</w:t>
      </w:r>
    </w:p>
    <w:p>
      <w:pPr>
        <w:spacing w:before="156"/>
        <w:rPr>
          <w:rFonts w:ascii="Arial" w:hAnsi="Arial"/>
          <w:b/>
          <w:u w:val="single"/>
        </w:rPr>
      </w:pPr>
      <w:r>
        <w:rPr>
          <w:rFonts w:hint="eastAsia" w:ascii="Arial" w:hAnsi="Arial"/>
          <w:b/>
          <w:u w:val="single"/>
        </w:rPr>
        <w:t>在迎宾西街，布局公交枢纽，加强晋中中心城区与太原南部地区、科技城核心区的公交线路网对接。</w:t>
      </w:r>
    </w:p>
    <w:p>
      <w:pPr>
        <w:spacing w:before="156"/>
        <w:rPr>
          <w:rFonts w:ascii="Arial" w:hAnsi="Arial"/>
          <w:b/>
          <w:u w:val="single"/>
        </w:rPr>
      </w:pPr>
      <w:r>
        <w:rPr>
          <w:rFonts w:hint="eastAsia" w:ascii="Arial" w:hAnsi="Arial"/>
          <w:b/>
          <w:u w:val="single"/>
        </w:rPr>
        <w:t>在潇河组团起步区，与潇河客运站结合规划布局公交枢纽，服务潇河组团，强化组团与晋中主城区、太原主城区联系。</w:t>
      </w:r>
    </w:p>
    <w:p>
      <w:pPr>
        <w:pStyle w:val="131"/>
        <w:spacing w:before="156"/>
        <w:ind w:left="960"/>
        <w:rPr>
          <w:rFonts w:ascii="宋体" w:hAnsi="宋体"/>
        </w:rPr>
      </w:pPr>
      <w:r>
        <w:rPr>
          <w:rFonts w:hint="eastAsia" w:ascii="宋体" w:hAnsi="宋体"/>
        </w:rPr>
        <w:t>（5）常规公交线网</w:t>
      </w:r>
      <w:r>
        <w:rPr>
          <w:rFonts w:hint="eastAsia"/>
        </w:rPr>
        <w:t>布局</w:t>
      </w:r>
      <w:r>
        <w:rPr>
          <w:rFonts w:hint="eastAsia" w:ascii="宋体" w:hAnsi="宋体"/>
        </w:rPr>
        <w:t>框架</w:t>
      </w:r>
    </w:p>
    <w:p>
      <w:pPr>
        <w:spacing w:before="156"/>
        <w:rPr>
          <w:rFonts w:ascii="Arial" w:hAnsi="Arial"/>
        </w:rPr>
      </w:pPr>
      <w:r>
        <w:rPr>
          <w:rFonts w:hint="eastAsia" w:ascii="Arial" w:hAnsi="Arial"/>
        </w:rPr>
        <w:t>在太原—晋中公交发展一体化、晋中中心城区与太谷县城、周边乡镇城乡客运发展一体化的基础上，规划将公交线网结构分为五大类：</w:t>
      </w:r>
    </w:p>
    <w:p>
      <w:pPr>
        <w:spacing w:before="156"/>
        <w:rPr>
          <w:rFonts w:ascii="Arial" w:hAnsi="Arial"/>
        </w:rPr>
      </w:pPr>
      <w:r>
        <w:rPr>
          <w:rFonts w:hint="eastAsia" w:ascii="Arial" w:hAnsi="Arial"/>
        </w:rPr>
        <w:t>第一类为太原中心城区与晋中中心城区间公交线路网络一体化衔接、组织；</w:t>
      </w:r>
    </w:p>
    <w:p>
      <w:pPr>
        <w:spacing w:before="156"/>
        <w:rPr>
          <w:rFonts w:ascii="Arial" w:hAnsi="Arial"/>
        </w:rPr>
      </w:pPr>
      <w:r>
        <w:rPr>
          <w:rFonts w:hint="eastAsia" w:ascii="Arial" w:hAnsi="Arial"/>
        </w:rPr>
        <w:t>第二类为晋中中心城区与太谷县城公交线路一体化，即榆次-太谷协调区内部公交网络协同组织。</w:t>
      </w:r>
    </w:p>
    <w:p>
      <w:pPr>
        <w:spacing w:before="156"/>
        <w:rPr>
          <w:rFonts w:ascii="Arial" w:hAnsi="Arial"/>
        </w:rPr>
      </w:pPr>
      <w:r>
        <w:rPr>
          <w:rFonts w:hint="eastAsia" w:ascii="Arial" w:hAnsi="Arial"/>
        </w:rPr>
        <w:t>第三类为晋中主城区内公交线路网组织；</w:t>
      </w:r>
    </w:p>
    <w:p>
      <w:pPr>
        <w:spacing w:before="156"/>
        <w:rPr>
          <w:rFonts w:ascii="Arial" w:hAnsi="Arial"/>
        </w:rPr>
      </w:pPr>
      <w:r>
        <w:rPr>
          <w:rFonts w:hint="eastAsia" w:ascii="Arial" w:hAnsi="Arial"/>
        </w:rPr>
        <w:t>第四类为晋中主城区与潇河组团起步区间的公交线路网组织；</w:t>
      </w:r>
    </w:p>
    <w:p>
      <w:pPr>
        <w:spacing w:before="156"/>
        <w:rPr>
          <w:rFonts w:hint="eastAsia" w:ascii="Arial" w:hAnsi="Arial"/>
        </w:rPr>
      </w:pPr>
      <w:r>
        <w:rPr>
          <w:rFonts w:hint="eastAsia" w:ascii="Arial" w:hAnsi="Arial"/>
        </w:rPr>
        <w:t>第五类为晋中中心城区与周边乡镇间城乡客运一体化组织。</w:t>
      </w:r>
    </w:p>
    <w:p>
      <w:pPr>
        <w:pStyle w:val="131"/>
        <w:spacing w:before="156"/>
        <w:ind w:left="960"/>
        <w:rPr>
          <w:rFonts w:ascii="宋体" w:hAnsi="宋体"/>
        </w:rPr>
      </w:pPr>
      <w:r>
        <w:rPr>
          <w:rFonts w:hint="eastAsia" w:ascii="宋体" w:hAnsi="宋体"/>
        </w:rPr>
        <w:t>（6）主要停保场</w:t>
      </w:r>
      <w:r>
        <w:rPr>
          <w:rFonts w:hint="eastAsia"/>
        </w:rPr>
        <w:t>规划</w:t>
      </w:r>
    </w:p>
    <w:p>
      <w:pPr>
        <w:spacing w:before="156"/>
        <w:rPr>
          <w:rFonts w:ascii="Arial" w:hAnsi="Arial"/>
          <w:b/>
          <w:u w:val="single"/>
        </w:rPr>
      </w:pPr>
      <w:r>
        <w:rPr>
          <w:rFonts w:hint="eastAsia" w:ascii="Arial" w:hAnsi="Arial"/>
          <w:b/>
          <w:u w:val="single"/>
        </w:rPr>
        <w:t>规划在晋中中心城区规划布局6处停保场：北部新城停保场、龙湖街停保场、东外环停保场、西环停保场、思凤街停保场、潇河停保场。</w:t>
      </w:r>
    </w:p>
    <w:p>
      <w:pPr>
        <w:spacing w:before="156"/>
        <w:rPr>
          <w:rFonts w:hint="eastAsia" w:ascii="Arial" w:hAnsi="Arial"/>
          <w:b/>
          <w:u w:val="single"/>
        </w:rPr>
      </w:pPr>
    </w:p>
    <w:p>
      <w:pPr>
        <w:pStyle w:val="4"/>
        <w:tabs>
          <w:tab w:val="left" w:pos="993"/>
          <w:tab w:val="clear" w:pos="1260"/>
        </w:tabs>
        <w:spacing w:beforeLines="0" w:after="260" w:line="416" w:lineRule="auto"/>
        <w:ind w:left="851" w:hanging="834"/>
      </w:pPr>
      <w:r>
        <w:rPr>
          <w:rFonts w:hint="eastAsia"/>
        </w:rPr>
        <w:t>步行与自行车系统规划</w:t>
      </w:r>
    </w:p>
    <w:p>
      <w:pPr>
        <w:pStyle w:val="131"/>
        <w:spacing w:before="156"/>
        <w:ind w:left="960"/>
        <w:rPr>
          <w:rFonts w:ascii="宋体" w:hAnsi="宋体"/>
        </w:rPr>
      </w:pPr>
      <w:r>
        <w:rPr>
          <w:rFonts w:hint="eastAsia" w:ascii="宋体" w:hAnsi="宋体"/>
        </w:rPr>
        <w:t>（1）步行与自行车系统发展目标</w:t>
      </w:r>
    </w:p>
    <w:p>
      <w:pPr>
        <w:spacing w:before="156"/>
        <w:rPr>
          <w:rFonts w:hint="eastAsia" w:ascii="Arial" w:hAnsi="Arial"/>
        </w:rPr>
      </w:pPr>
      <w:r>
        <w:rPr>
          <w:rFonts w:hint="eastAsia" w:ascii="Arial" w:hAnsi="Arial"/>
        </w:rPr>
        <w:t>结合晋中城市特色，构筑与晋中城市发展相适宜、与机动车发展相协调、与公共交通紧密结合的步行与自行车系统，有力提升晋中交通出行环境的人性化和可持续性，倡导绿色交通和低碳出行理念。</w:t>
      </w:r>
    </w:p>
    <w:p>
      <w:pPr>
        <w:pStyle w:val="131"/>
        <w:spacing w:before="156"/>
        <w:ind w:left="960"/>
        <w:rPr>
          <w:rFonts w:ascii="宋体" w:hAnsi="宋体"/>
        </w:rPr>
      </w:pPr>
      <w:r>
        <w:rPr>
          <w:rFonts w:hint="eastAsia" w:ascii="宋体" w:hAnsi="宋体"/>
        </w:rPr>
        <w:t>（2）步行</w:t>
      </w:r>
      <w:r>
        <w:rPr>
          <w:rFonts w:hint="eastAsia"/>
        </w:rPr>
        <w:t>系统规划</w:t>
      </w:r>
    </w:p>
    <w:p>
      <w:pPr>
        <w:spacing w:before="156"/>
        <w:rPr>
          <w:rFonts w:ascii="Arial" w:hAnsi="Arial"/>
        </w:rPr>
      </w:pPr>
      <w:r>
        <w:rPr>
          <w:rFonts w:hint="eastAsia" w:ascii="Arial" w:hAnsi="Arial"/>
        </w:rPr>
        <w:t>晋中中心城区各片区内部应提倡步行方式，形成连续的步行交通网络，积极为步行者创造安全、便捷和舒适的交通环境。结合城区水系、公园体系，打造步行休闲系统，体现城市风貌特色，服务居民日常休闲。</w:t>
      </w:r>
    </w:p>
    <w:p>
      <w:pPr>
        <w:pStyle w:val="131"/>
        <w:spacing w:before="156"/>
        <w:ind w:left="960"/>
        <w:rPr>
          <w:rFonts w:ascii="宋体" w:hAnsi="宋体"/>
        </w:rPr>
      </w:pPr>
      <w:r>
        <w:rPr>
          <w:rFonts w:hint="eastAsia" w:ascii="宋体" w:hAnsi="宋体"/>
        </w:rPr>
        <w:t>（3）自行车</w:t>
      </w:r>
      <w:r>
        <w:rPr>
          <w:rFonts w:hint="eastAsia"/>
        </w:rPr>
        <w:t>系统规划</w:t>
      </w:r>
    </w:p>
    <w:p>
      <w:pPr>
        <w:spacing w:before="156"/>
        <w:rPr>
          <w:rFonts w:ascii="Arial" w:hAnsi="Arial"/>
        </w:rPr>
      </w:pPr>
      <w:r>
        <w:rPr>
          <w:rFonts w:hint="eastAsia" w:ascii="Arial" w:hAnsi="Arial"/>
        </w:rPr>
        <w:t>晋中中心城区各片区内部和片区间应建立连续的自行车交通网络，鼓励短距离的自行车出行，积极引导自行车从中长距离出行转化为接驳公共交通、组团内出行和辅助出行的主要工具。</w:t>
      </w:r>
    </w:p>
    <w:p>
      <w:pPr>
        <w:spacing w:before="156"/>
        <w:rPr>
          <w:rFonts w:hint="eastAsia" w:ascii="Arial" w:hAnsi="Arial"/>
        </w:rPr>
      </w:pPr>
    </w:p>
    <w:p>
      <w:pPr>
        <w:pStyle w:val="4"/>
        <w:tabs>
          <w:tab w:val="left" w:pos="993"/>
          <w:tab w:val="clear" w:pos="1260"/>
        </w:tabs>
        <w:spacing w:beforeLines="0" w:after="260" w:line="416" w:lineRule="auto"/>
        <w:ind w:left="851" w:hanging="834"/>
      </w:pPr>
      <w:r>
        <w:rPr>
          <w:rFonts w:hint="eastAsia"/>
        </w:rPr>
        <w:t>停车系统规划</w:t>
      </w:r>
    </w:p>
    <w:p>
      <w:pPr>
        <w:pStyle w:val="131"/>
        <w:spacing w:before="156"/>
        <w:ind w:left="960"/>
        <w:rPr>
          <w:rFonts w:ascii="宋体" w:hAnsi="宋体"/>
        </w:rPr>
      </w:pPr>
      <w:r>
        <w:rPr>
          <w:rFonts w:hint="eastAsia" w:ascii="宋体" w:hAnsi="宋体"/>
        </w:rPr>
        <w:t>（1）停车供给</w:t>
      </w:r>
      <w:r>
        <w:rPr>
          <w:rFonts w:hint="eastAsia"/>
        </w:rPr>
        <w:t>策略</w:t>
      </w:r>
    </w:p>
    <w:p>
      <w:pPr>
        <w:spacing w:before="156"/>
        <w:rPr>
          <w:rFonts w:ascii="Arial" w:hAnsi="Arial"/>
        </w:rPr>
      </w:pPr>
      <w:r>
        <w:rPr>
          <w:rFonts w:hint="eastAsia" w:ascii="Arial" w:hAnsi="Arial"/>
        </w:rPr>
        <w:t>晋中中心城区的停车供给结构应以配建停车场为主，以公共停车场为辅，以路内停车为补充。停车供给采用差异化分区策略，停车供给分区分为三个层次：严格控制区、适度控制区、协调发展区。</w:t>
      </w:r>
      <w:r>
        <w:rPr>
          <w:rFonts w:hint="eastAsia" w:ascii="宋体" w:hAnsi="宋体"/>
        </w:rPr>
        <w:t>停车泊位供应比例控制在机动车保有量的</w:t>
      </w:r>
      <w:r>
        <w:rPr>
          <w:rFonts w:hint="default" w:ascii="Times New Roman" w:hAnsi="Times New Roman" w:eastAsia="仿宋_GB2312" w:cs="Times New Roman"/>
        </w:rPr>
        <w:t>1.2</w:t>
      </w:r>
      <w:r>
        <w:rPr>
          <w:rFonts w:hint="eastAsia" w:ascii="宋体" w:hAnsi="宋体"/>
        </w:rPr>
        <w:t>倍，路外公共停车场的泊位数不低于</w:t>
      </w:r>
      <w:r>
        <w:rPr>
          <w:rFonts w:hint="default" w:ascii="Times New Roman" w:hAnsi="Times New Roman" w:cs="Times New Roman"/>
        </w:rPr>
        <w:t>3.4</w:t>
      </w:r>
      <w:r>
        <w:rPr>
          <w:rFonts w:hint="eastAsia" w:ascii="宋体" w:hAnsi="宋体"/>
        </w:rPr>
        <w:t>万个。</w:t>
      </w:r>
    </w:p>
    <w:p>
      <w:pPr>
        <w:pStyle w:val="131"/>
        <w:spacing w:before="156"/>
        <w:ind w:left="960"/>
        <w:rPr>
          <w:rFonts w:ascii="宋体" w:hAnsi="宋体"/>
        </w:rPr>
      </w:pPr>
      <w:r>
        <w:rPr>
          <w:rFonts w:hint="eastAsia" w:ascii="宋体" w:hAnsi="宋体"/>
        </w:rPr>
        <w:t>（2）主要公共</w:t>
      </w:r>
      <w:r>
        <w:rPr>
          <w:rFonts w:hint="eastAsia"/>
        </w:rPr>
        <w:t>停车场</w:t>
      </w:r>
      <w:r>
        <w:rPr>
          <w:rFonts w:hint="eastAsia" w:ascii="宋体" w:hAnsi="宋体"/>
        </w:rPr>
        <w:t>布局规划</w:t>
      </w:r>
    </w:p>
    <w:p>
      <w:pPr>
        <w:spacing w:before="156"/>
        <w:rPr>
          <w:rFonts w:ascii="Arial" w:hAnsi="Arial"/>
        </w:rPr>
      </w:pPr>
      <w:r>
        <w:rPr>
          <w:rFonts w:hint="eastAsia" w:ascii="Arial" w:hAnsi="Arial"/>
        </w:rPr>
        <w:t>规划在晋中中心城区布局</w:t>
      </w:r>
      <w:r>
        <w:t>9</w:t>
      </w:r>
      <w:r>
        <w:rPr>
          <w:rFonts w:hint="eastAsia" w:ascii="Arial" w:hAnsi="Arial"/>
        </w:rPr>
        <w:t>处主要公共停车场：晋中站停车场、城北停车场、城南停车场、北六堡停车场、修文停车场、城东停车场、城东客运站停车场、中都北路停车场、潇河客运站停车场。</w:t>
      </w:r>
    </w:p>
    <w:p>
      <w:pPr>
        <w:spacing w:before="156"/>
        <w:rPr>
          <w:rFonts w:ascii="Arial" w:hAnsi="Arial"/>
        </w:rPr>
      </w:pPr>
    </w:p>
    <w:p>
      <w:pPr>
        <w:pStyle w:val="3"/>
        <w:spacing w:before="156" w:after="156"/>
        <w:rPr>
          <w:rStyle w:val="52"/>
          <w:color w:val="auto"/>
          <w:u w:val="none"/>
        </w:rPr>
      </w:pPr>
      <w:bookmarkStart w:id="303" w:name="_Toc492850127"/>
      <w:r>
        <w:rPr>
          <w:rStyle w:val="52"/>
          <w:rFonts w:hint="eastAsia"/>
          <w:color w:val="auto"/>
          <w:u w:val="none"/>
        </w:rPr>
        <w:t>第十二节 中心城区基础设施规划</w:t>
      </w:r>
      <w:bookmarkEnd w:id="303"/>
    </w:p>
    <w:p>
      <w:pPr>
        <w:pStyle w:val="4"/>
        <w:tabs>
          <w:tab w:val="left" w:pos="993"/>
          <w:tab w:val="clear" w:pos="1260"/>
        </w:tabs>
        <w:spacing w:before="312"/>
        <w:ind w:left="851" w:hanging="834"/>
      </w:pPr>
      <w:r>
        <w:rPr>
          <w:rFonts w:hint="eastAsia"/>
        </w:rPr>
        <w:t>供水工程</w:t>
      </w:r>
    </w:p>
    <w:p>
      <w:pPr>
        <w:pStyle w:val="131"/>
        <w:spacing w:before="156"/>
        <w:ind w:left="960"/>
        <w:rPr>
          <w:rFonts w:ascii="宋体" w:hAnsi="宋体"/>
        </w:rPr>
      </w:pPr>
      <w:r>
        <w:rPr>
          <w:rFonts w:hint="eastAsia" w:ascii="宋体" w:hAnsi="宋体"/>
        </w:rPr>
        <w:t>（1）需水量预测</w:t>
      </w:r>
    </w:p>
    <w:p>
      <w:pPr>
        <w:spacing w:before="156"/>
        <w:rPr>
          <w:rFonts w:ascii="宋体" w:hAnsi="宋体"/>
        </w:rPr>
      </w:pPr>
      <w:r>
        <w:rPr>
          <w:rFonts w:hint="default" w:ascii="Times New Roman" w:hAnsi="Times New Roman" w:cs="Times New Roman"/>
        </w:rPr>
        <w:t>2030</w:t>
      </w:r>
      <w:r>
        <w:rPr>
          <w:rFonts w:hint="eastAsia" w:ascii="宋体" w:hAnsi="宋体"/>
        </w:rPr>
        <w:t>年晋中市城区</w:t>
      </w:r>
      <w:r>
        <w:rPr>
          <w:rFonts w:ascii="宋体" w:hAnsi="宋体"/>
        </w:rPr>
        <w:t>人均综合用水指标控制在</w:t>
      </w:r>
      <w:r>
        <w:rPr>
          <w:rFonts w:hint="default" w:ascii="Times New Roman" w:hAnsi="Times New Roman" w:cs="Times New Roman"/>
        </w:rPr>
        <w:t>240</w:t>
      </w:r>
      <w:r>
        <w:rPr>
          <w:rFonts w:ascii="宋体" w:hAnsi="宋体"/>
        </w:rPr>
        <w:t>升/人·日。至</w:t>
      </w:r>
      <w:r>
        <w:rPr>
          <w:rFonts w:hint="default" w:ascii="Times New Roman" w:hAnsi="Times New Roman" w:cs="Times New Roman"/>
        </w:rPr>
        <w:t>2030</w:t>
      </w:r>
      <w:r>
        <w:rPr>
          <w:rFonts w:ascii="宋体" w:hAnsi="宋体"/>
        </w:rPr>
        <w:t>年，中心城区规划范围人口</w:t>
      </w:r>
      <w:r>
        <w:rPr>
          <w:rFonts w:hint="default" w:ascii="Times New Roman" w:hAnsi="Times New Roman" w:cs="Times New Roman"/>
        </w:rPr>
        <w:t>132</w:t>
      </w:r>
      <w:r>
        <w:rPr>
          <w:rFonts w:ascii="宋体" w:hAnsi="宋体"/>
        </w:rPr>
        <w:t>万人，最高日用水量为</w:t>
      </w:r>
      <w:r>
        <w:rPr>
          <w:rFonts w:hint="default" w:ascii="Times New Roman" w:hAnsi="Times New Roman" w:cs="Times New Roman"/>
        </w:rPr>
        <w:t>31.7</w:t>
      </w:r>
      <w:r>
        <w:rPr>
          <w:rFonts w:ascii="宋体" w:hAnsi="宋体"/>
        </w:rPr>
        <w:t>万立方米</w:t>
      </w:r>
      <w:r>
        <w:rPr>
          <w:rFonts w:hint="eastAsia" w:ascii="宋体" w:hAnsi="宋体"/>
        </w:rPr>
        <w:t>（本用水量预测未考虑城市热电厂等高耗水行业用水需求）</w:t>
      </w:r>
      <w:r>
        <w:rPr>
          <w:rFonts w:ascii="宋体" w:hAnsi="宋体"/>
        </w:rPr>
        <w:t>。</w:t>
      </w:r>
    </w:p>
    <w:p>
      <w:pPr>
        <w:pStyle w:val="131"/>
        <w:spacing w:before="156"/>
        <w:ind w:left="960"/>
        <w:rPr>
          <w:rFonts w:ascii="宋体" w:hAnsi="宋体"/>
        </w:rPr>
      </w:pPr>
      <w:r>
        <w:rPr>
          <w:rFonts w:hint="eastAsia" w:ascii="宋体" w:hAnsi="宋体"/>
        </w:rPr>
        <w:t>（2）供水水源规划</w:t>
      </w:r>
    </w:p>
    <w:p>
      <w:pPr>
        <w:spacing w:before="156"/>
        <w:rPr>
          <w:rFonts w:ascii="宋体" w:hAnsi="宋体"/>
        </w:rPr>
      </w:pPr>
      <w:r>
        <w:rPr>
          <w:rFonts w:hint="eastAsia" w:ascii="宋体" w:hAnsi="宋体"/>
        </w:rPr>
        <w:t>加强太榆协调引黄供水工程建设，作为中心城区供水水源；保留本地</w:t>
      </w:r>
      <w:r>
        <w:rPr>
          <w:rFonts w:hint="eastAsia" w:ascii="宋体" w:hAnsi="宋体"/>
          <w:lang w:eastAsia="zh-CN"/>
        </w:rPr>
        <w:t>西窑</w:t>
      </w:r>
      <w:r>
        <w:rPr>
          <w:rFonts w:hint="eastAsia" w:ascii="宋体" w:hAnsi="宋体"/>
        </w:rPr>
        <w:t>水源地、北山水源地及松塔水库水源地，同时将源涡水源地作为应急备用水源。</w:t>
      </w:r>
    </w:p>
    <w:p>
      <w:pPr>
        <w:spacing w:before="156"/>
        <w:rPr>
          <w:rFonts w:ascii="宋体" w:hAnsi="宋体"/>
        </w:rPr>
      </w:pPr>
      <w:r>
        <w:rPr>
          <w:rFonts w:hint="eastAsia" w:ascii="宋体" w:hAnsi="宋体"/>
        </w:rPr>
        <w:t>非传统水资源应作为重要的补充水源，规划在城区污水处理厂内建设再生水回用设施，主要用于城市工业用水和市政杂用。</w:t>
      </w:r>
    </w:p>
    <w:p>
      <w:pPr>
        <w:pStyle w:val="131"/>
        <w:spacing w:before="156"/>
        <w:ind w:left="960"/>
        <w:rPr>
          <w:rFonts w:ascii="宋体" w:hAnsi="宋体"/>
        </w:rPr>
      </w:pPr>
      <w:r>
        <w:rPr>
          <w:rFonts w:hint="eastAsia" w:ascii="宋体" w:hAnsi="宋体"/>
        </w:rPr>
        <w:t>（3）供水设施规划</w:t>
      </w:r>
    </w:p>
    <w:p>
      <w:pPr>
        <w:spacing w:before="156"/>
        <w:rPr>
          <w:rFonts w:ascii="宋体" w:hAnsi="宋体"/>
        </w:rPr>
      </w:pPr>
      <w:r>
        <w:rPr>
          <w:rFonts w:hint="eastAsia" w:ascii="宋体" w:hAnsi="宋体"/>
        </w:rPr>
        <w:t>第一水厂停产备用，对第二水厂、第三水厂设备更新，保留第四水厂；加快太榆协调引黄供水工程和城区污水处理及再生水厂的建设。</w:t>
      </w:r>
    </w:p>
    <w:p>
      <w:pPr>
        <w:spacing w:before="156"/>
        <w:rPr>
          <w:rFonts w:ascii="宋体" w:hAnsi="宋体"/>
        </w:rPr>
      </w:pPr>
      <w:r>
        <w:rPr>
          <w:rFonts w:hint="eastAsia" w:ascii="宋体" w:hAnsi="宋体"/>
        </w:rPr>
        <w:t>对现有</w:t>
      </w:r>
      <w:r>
        <w:rPr>
          <w:rFonts w:hint="eastAsia" w:ascii="宋体" w:hAnsi="宋体"/>
          <w:lang w:eastAsia="zh-CN"/>
        </w:rPr>
        <w:t>西窑</w:t>
      </w:r>
      <w:r>
        <w:rPr>
          <w:rFonts w:hint="eastAsia" w:ascii="宋体" w:hAnsi="宋体"/>
        </w:rPr>
        <w:t>、北山水源地输水管线进行更新改造，布设双管供水，提高输水管道安全保障能力；保留松塔水库向第四水厂供水的输水管道；将太榆协调引黄管线与晋中市区供水管网相连接，满足市区近远期用水需求。</w:t>
      </w:r>
    </w:p>
    <w:p>
      <w:pPr>
        <w:spacing w:before="156"/>
        <w:rPr>
          <w:rFonts w:ascii="宋体" w:hAnsi="宋体"/>
        </w:rPr>
      </w:pPr>
      <w:r>
        <w:rPr>
          <w:rFonts w:hint="eastAsia" w:ascii="宋体" w:hAnsi="宋体"/>
        </w:rPr>
        <w:t>中心城区配水管网形成以北环路、东环路、南环路、综合通道为主环的环状供水管网系统，利用现有供水管道，连通城区部分枝状管道，并使供水管网覆盖整个城区，提高供水安全保障能力。</w:t>
      </w:r>
    </w:p>
    <w:p>
      <w:pPr>
        <w:pStyle w:val="4"/>
        <w:tabs>
          <w:tab w:val="left" w:pos="993"/>
          <w:tab w:val="clear" w:pos="1260"/>
        </w:tabs>
        <w:spacing w:before="312"/>
        <w:ind w:left="851" w:hanging="834"/>
      </w:pPr>
      <w:r>
        <w:rPr>
          <w:rFonts w:hint="eastAsia"/>
        </w:rPr>
        <w:t>污水工程</w:t>
      </w:r>
    </w:p>
    <w:p>
      <w:pPr>
        <w:pStyle w:val="131"/>
        <w:spacing w:before="156"/>
        <w:ind w:left="960"/>
        <w:rPr>
          <w:rFonts w:ascii="宋体" w:hAnsi="宋体"/>
        </w:rPr>
      </w:pPr>
      <w:r>
        <w:rPr>
          <w:rFonts w:hint="eastAsia" w:ascii="宋体" w:hAnsi="宋体"/>
        </w:rPr>
        <w:t>（1）排水体制</w:t>
      </w:r>
    </w:p>
    <w:p>
      <w:pPr>
        <w:pStyle w:val="42"/>
        <w:rPr>
          <w:rStyle w:val="52"/>
          <w:color w:val="auto"/>
        </w:rPr>
      </w:pPr>
      <w:r>
        <w:rPr>
          <w:rStyle w:val="52"/>
          <w:color w:val="auto"/>
        </w:rPr>
        <w:t>规划市中心城区排水体制为雨污分流制。</w:t>
      </w:r>
    </w:p>
    <w:p>
      <w:pPr>
        <w:pStyle w:val="131"/>
        <w:spacing w:before="156"/>
        <w:ind w:left="960"/>
        <w:rPr>
          <w:rFonts w:ascii="宋体" w:hAnsi="宋体"/>
        </w:rPr>
      </w:pPr>
      <w:r>
        <w:rPr>
          <w:rFonts w:hint="eastAsia" w:ascii="宋体" w:hAnsi="宋体"/>
        </w:rPr>
        <w:t>（2）污水量预测</w:t>
      </w:r>
    </w:p>
    <w:p>
      <w:pPr>
        <w:spacing w:before="156"/>
        <w:rPr>
          <w:rFonts w:ascii="宋体" w:hAnsi="宋体"/>
        </w:rPr>
      </w:pPr>
      <w:r>
        <w:rPr>
          <w:rFonts w:hint="eastAsia" w:ascii="宋体" w:hAnsi="宋体"/>
        </w:rPr>
        <w:t>至规划期末，预测中心城区污水产生量约</w:t>
      </w:r>
      <w:r>
        <w:rPr>
          <w:rFonts w:hint="default" w:ascii="Times New Roman" w:hAnsi="Times New Roman" w:cs="Times New Roman"/>
        </w:rPr>
        <w:t>20</w:t>
      </w:r>
      <w:r>
        <w:rPr>
          <w:rFonts w:hint="eastAsia" w:ascii="宋体" w:hAnsi="宋体"/>
        </w:rPr>
        <w:t>万立方米/日</w:t>
      </w:r>
      <w:r>
        <w:rPr>
          <w:rFonts w:ascii="宋体" w:hAnsi="宋体"/>
        </w:rPr>
        <w:t>。</w:t>
      </w:r>
    </w:p>
    <w:p>
      <w:pPr>
        <w:pStyle w:val="131"/>
        <w:spacing w:before="156"/>
        <w:ind w:left="960"/>
        <w:rPr>
          <w:rFonts w:ascii="宋体" w:hAnsi="宋体"/>
        </w:rPr>
      </w:pPr>
      <w:r>
        <w:rPr>
          <w:rFonts w:hint="eastAsia" w:ascii="宋体" w:hAnsi="宋体"/>
        </w:rPr>
        <w:t>（3）污水系统分区</w:t>
      </w:r>
    </w:p>
    <w:p>
      <w:pPr>
        <w:spacing w:before="156"/>
        <w:rPr>
          <w:rFonts w:ascii="宋体" w:hAnsi="宋体"/>
        </w:rPr>
      </w:pPr>
      <w:r>
        <w:rPr>
          <w:rFonts w:hint="eastAsia" w:ascii="宋体" w:hAnsi="宋体"/>
        </w:rPr>
        <w:t>根据晋中市城市规划布局，将中心城区划分为</w:t>
      </w:r>
      <w:r>
        <w:rPr>
          <w:rFonts w:hint="default" w:ascii="Times New Roman" w:hAnsi="Times New Roman" w:cs="Times New Roman"/>
        </w:rPr>
        <w:t>3</w:t>
      </w:r>
      <w:r>
        <w:rPr>
          <w:rFonts w:hint="eastAsia" w:ascii="宋体" w:hAnsi="宋体"/>
        </w:rPr>
        <w:t>个污水收集系统：纬四街以北地区、潇河起步区和城区其他区域。纬四街以北地区污水向西汇集至新建高教园区污水处理厂；潇河起步区内污水汇入修文污水厂统一处理；城区其它区域污水进入第二污水处理厂。</w:t>
      </w:r>
    </w:p>
    <w:p>
      <w:pPr>
        <w:spacing w:before="156"/>
        <w:rPr>
          <w:rFonts w:ascii="宋体" w:hAnsi="宋体"/>
        </w:rPr>
      </w:pPr>
      <w:r>
        <w:rPr>
          <w:rFonts w:hint="eastAsia" w:ascii="宋体" w:hAnsi="宋体"/>
        </w:rPr>
        <w:t>（4）污水处理设施规划</w:t>
      </w:r>
    </w:p>
    <w:p>
      <w:pPr>
        <w:spacing w:before="156"/>
        <w:rPr>
          <w:rFonts w:ascii="宋体" w:hAnsi="宋体"/>
        </w:rPr>
      </w:pPr>
      <w:r>
        <w:rPr>
          <w:rFonts w:hint="eastAsia" w:ascii="宋体" w:hAnsi="宋体"/>
        </w:rPr>
        <w:t>取消第一污水处理厂；规划扩建现状第二污水处理厂，处理规模达到</w:t>
      </w:r>
      <w:r>
        <w:rPr>
          <w:rFonts w:hint="default" w:ascii="Times New Roman" w:hAnsi="Times New Roman" w:cs="Times New Roman"/>
        </w:rPr>
        <w:t>18</w:t>
      </w:r>
      <w:r>
        <w:rPr>
          <w:rFonts w:hint="eastAsia" w:ascii="宋体" w:hAnsi="宋体"/>
        </w:rPr>
        <w:t>万立方米/日，占地</w:t>
      </w:r>
      <w:r>
        <w:rPr>
          <w:rFonts w:hint="default" w:ascii="Times New Roman" w:hAnsi="Times New Roman" w:cs="Times New Roman"/>
        </w:rPr>
        <w:t>25</w:t>
      </w:r>
      <w:r>
        <w:rPr>
          <w:rFonts w:hint="eastAsia" w:ascii="宋体" w:hAnsi="宋体"/>
        </w:rPr>
        <w:t>万平方米；新建高教园污水处理厂，处理规模</w:t>
      </w:r>
      <w:r>
        <w:rPr>
          <w:rFonts w:hint="default" w:ascii="Times New Roman" w:hAnsi="Times New Roman" w:cs="Times New Roman"/>
        </w:rPr>
        <w:t>6</w:t>
      </w:r>
      <w:r>
        <w:rPr>
          <w:rFonts w:hint="eastAsia" w:ascii="宋体" w:hAnsi="宋体"/>
        </w:rPr>
        <w:t>万立方米/日，占地</w:t>
      </w:r>
      <w:r>
        <w:rPr>
          <w:rFonts w:hint="default" w:ascii="Times New Roman" w:hAnsi="Times New Roman" w:cs="Times New Roman"/>
        </w:rPr>
        <w:t>10</w:t>
      </w:r>
      <w:r>
        <w:rPr>
          <w:rFonts w:hint="eastAsia" w:ascii="宋体" w:hAnsi="宋体"/>
        </w:rPr>
        <w:t>万平方米。</w:t>
      </w:r>
    </w:p>
    <w:p>
      <w:pPr>
        <w:spacing w:before="156"/>
        <w:rPr>
          <w:rFonts w:ascii="宋体" w:hAnsi="宋体"/>
        </w:rPr>
      </w:pPr>
      <w:r>
        <w:rPr>
          <w:rFonts w:hint="eastAsia" w:ascii="宋体" w:hAnsi="宋体"/>
        </w:rPr>
        <w:t>市政污水管网一般沿规划道路建设，管网布置与地形相适应，管道尽量采用重力流形式，避免加设提升泵站，并考虑与道路建设相结合同时铺设。结合地形以及晋中市规划三个污水处理厂位置，每个排水区域布置污水主干管接纳污水，最终排入污水处理厂。</w:t>
      </w:r>
    </w:p>
    <w:p>
      <w:pPr>
        <w:pStyle w:val="131"/>
        <w:spacing w:before="156"/>
        <w:ind w:left="960"/>
        <w:rPr>
          <w:rFonts w:ascii="宋体" w:hAnsi="宋体"/>
        </w:rPr>
      </w:pPr>
      <w:r>
        <w:rPr>
          <w:rFonts w:hint="eastAsia" w:ascii="宋体" w:hAnsi="宋体"/>
        </w:rPr>
        <w:t>（5）污泥处置规划</w:t>
      </w:r>
    </w:p>
    <w:p>
      <w:pPr>
        <w:spacing w:before="156"/>
        <w:rPr>
          <w:rFonts w:ascii="宋体" w:hAnsi="宋体"/>
        </w:rPr>
      </w:pPr>
      <w:r>
        <w:rPr>
          <w:rFonts w:hint="eastAsia" w:ascii="宋体" w:hAnsi="宋体"/>
        </w:rPr>
        <w:t>污泥处理处置应统一规划，合理布局，并体现“减量化、稳定化、无害化”的原则。污泥运输过程中应进行全过程监控和管理，防止造成环境二次污染。</w:t>
      </w:r>
    </w:p>
    <w:p>
      <w:pPr>
        <w:pStyle w:val="4"/>
        <w:tabs>
          <w:tab w:val="left" w:pos="993"/>
          <w:tab w:val="clear" w:pos="1260"/>
        </w:tabs>
        <w:spacing w:before="312"/>
        <w:ind w:left="851" w:hanging="834"/>
      </w:pPr>
      <w:r>
        <w:rPr>
          <w:rFonts w:hint="eastAsia"/>
        </w:rPr>
        <w:t>雨水工程</w:t>
      </w:r>
    </w:p>
    <w:p>
      <w:pPr>
        <w:pStyle w:val="131"/>
        <w:spacing w:before="156"/>
        <w:ind w:left="960"/>
        <w:rPr>
          <w:rFonts w:ascii="宋体" w:hAnsi="宋体"/>
        </w:rPr>
      </w:pPr>
      <w:r>
        <w:rPr>
          <w:rFonts w:hint="eastAsia" w:ascii="宋体" w:hAnsi="宋体"/>
        </w:rPr>
        <w:t>（1</w:t>
      </w:r>
      <w:r>
        <w:rPr>
          <w:rFonts w:ascii="宋体" w:hAnsi="宋体"/>
        </w:rPr>
        <w:t>）</w:t>
      </w:r>
      <w:r>
        <w:rPr>
          <w:rFonts w:hint="eastAsia" w:ascii="宋体" w:hAnsi="宋体"/>
        </w:rPr>
        <w:t>规划</w:t>
      </w:r>
      <w:r>
        <w:rPr>
          <w:rFonts w:ascii="宋体" w:hAnsi="宋体"/>
        </w:rPr>
        <w:t>标准</w:t>
      </w:r>
    </w:p>
    <w:p>
      <w:pPr>
        <w:spacing w:before="156"/>
        <w:rPr>
          <w:rFonts w:ascii="宋体" w:hAnsi="宋体"/>
        </w:rPr>
      </w:pPr>
      <w:r>
        <w:rPr>
          <w:rFonts w:hint="eastAsia" w:ascii="宋体" w:hAnsi="宋体"/>
        </w:rPr>
        <w:t>中心城区一般地区雨水管道设计重现期为</w:t>
      </w:r>
      <w:r>
        <w:rPr>
          <w:rFonts w:hint="default" w:ascii="Times New Roman" w:hAnsi="Times New Roman" w:cs="Times New Roman"/>
        </w:rPr>
        <w:t>2-5</w:t>
      </w:r>
      <w:r>
        <w:rPr>
          <w:rFonts w:hint="eastAsia" w:ascii="宋体" w:hAnsi="宋体"/>
        </w:rPr>
        <w:t>年，重要地区雨水管道设计重现期为</w:t>
      </w:r>
      <w:r>
        <w:rPr>
          <w:rFonts w:hint="default" w:ascii="Times New Roman" w:hAnsi="Times New Roman" w:cs="Times New Roman"/>
        </w:rPr>
        <w:t>5-10</w:t>
      </w:r>
      <w:r>
        <w:rPr>
          <w:rFonts w:hint="eastAsia" w:ascii="宋体" w:hAnsi="宋体"/>
        </w:rPr>
        <w:t>年。中心城区通过采取管道排放与地势绿地调蓄等综合措施能有效应对不低于</w:t>
      </w:r>
      <w:r>
        <w:rPr>
          <w:rFonts w:hint="default" w:ascii="Times New Roman" w:hAnsi="Times New Roman" w:cs="Times New Roman"/>
        </w:rPr>
        <w:t>30</w:t>
      </w:r>
      <w:r>
        <w:rPr>
          <w:rFonts w:ascii="宋体" w:hAnsi="宋体"/>
        </w:rPr>
        <w:t>年一遇的暴雨</w:t>
      </w:r>
      <w:r>
        <w:rPr>
          <w:rFonts w:hint="eastAsia" w:ascii="宋体" w:hAnsi="宋体"/>
        </w:rPr>
        <w:t>。</w:t>
      </w:r>
    </w:p>
    <w:p>
      <w:pPr>
        <w:spacing w:before="156"/>
        <w:rPr>
          <w:rFonts w:ascii="宋体" w:hAnsi="宋体"/>
        </w:rPr>
      </w:pPr>
      <w:r>
        <w:rPr>
          <w:rFonts w:hint="eastAsia" w:ascii="宋体" w:hAnsi="宋体"/>
        </w:rPr>
        <w:t>发生城市雨水管网设计标准以内的降雨时，地面无明显积水；发生城市内涝防治标准以内的降雨时，城市不出现内涝灾害；发生超过城市内涝防治标准的降雨时，城市运转基本正常，无重大财产损失和人员伤亡。</w:t>
      </w:r>
    </w:p>
    <w:p>
      <w:pPr>
        <w:pStyle w:val="131"/>
        <w:spacing w:before="156"/>
        <w:ind w:left="960"/>
        <w:rPr>
          <w:rFonts w:ascii="宋体" w:hAnsi="宋体"/>
        </w:rPr>
      </w:pPr>
      <w:r>
        <w:rPr>
          <w:rFonts w:hint="eastAsia" w:ascii="宋体" w:hAnsi="宋体"/>
        </w:rPr>
        <w:t>（2）雨水系统分区</w:t>
      </w:r>
    </w:p>
    <w:p>
      <w:pPr>
        <w:spacing w:before="156"/>
        <w:rPr>
          <w:rFonts w:ascii="宋体" w:hAnsi="宋体"/>
        </w:rPr>
      </w:pPr>
      <w:r>
        <w:rPr>
          <w:rFonts w:hint="eastAsia" w:ascii="宋体" w:hAnsi="宋体"/>
        </w:rPr>
        <w:t>雨水排放一般按照“高水高排，低水低排，就近排放”的原则。晋中市中心城区东北高、西南低，中心城区雨水沿规划综合通道北起潇河末端向南至榆太总退渠作为晋中市雨水排水总渠，潇河起步区雨水最终汇入潇河南干渠。雨水系统划分为</w:t>
      </w:r>
      <w:r>
        <w:rPr>
          <w:rFonts w:hint="default" w:ascii="Times New Roman" w:hAnsi="Times New Roman" w:cs="Times New Roman"/>
        </w:rPr>
        <w:t>10</w:t>
      </w:r>
      <w:r>
        <w:rPr>
          <w:rFonts w:hint="eastAsia" w:ascii="宋体" w:hAnsi="宋体"/>
        </w:rPr>
        <w:t>个雨水排水分区。</w:t>
      </w:r>
    </w:p>
    <w:p>
      <w:pPr>
        <w:pStyle w:val="131"/>
        <w:spacing w:before="156"/>
        <w:ind w:left="960"/>
        <w:rPr>
          <w:rFonts w:ascii="宋体" w:hAnsi="宋体"/>
        </w:rPr>
      </w:pPr>
      <w:r>
        <w:rPr>
          <w:rFonts w:hint="eastAsia" w:ascii="宋体" w:hAnsi="宋体"/>
        </w:rPr>
        <w:t>（3）低影响开发规划</w:t>
      </w:r>
    </w:p>
    <w:p>
      <w:pPr>
        <w:spacing w:before="156"/>
        <w:rPr>
          <w:rFonts w:ascii="宋体" w:hAnsi="宋体"/>
        </w:rPr>
      </w:pPr>
      <w:r>
        <w:rPr>
          <w:rFonts w:hint="eastAsia" w:ascii="宋体" w:hAnsi="宋体"/>
        </w:rPr>
        <w:t>在新建小区建设雨水集水池，屋顶和地面雨水管道收集的雨水，排入雨水集水池，经简单处理后可用于生活杂用水、绿化用水、景观用水等。为了减少雨水地表径流，可增加绿地系统</w:t>
      </w:r>
      <w:r>
        <w:rPr>
          <w:rFonts w:ascii="宋体" w:hAnsi="宋体"/>
        </w:rPr>
        <w:t>用地</w:t>
      </w:r>
      <w:r>
        <w:rPr>
          <w:rFonts w:hint="eastAsia" w:ascii="宋体" w:hAnsi="宋体"/>
        </w:rPr>
        <w:t>面积或在人行道，露天停车场等区域铺设透水地砖，雨水渗入地下补充地下水。</w:t>
      </w:r>
    </w:p>
    <w:p>
      <w:pPr>
        <w:pStyle w:val="4"/>
        <w:tabs>
          <w:tab w:val="left" w:pos="993"/>
          <w:tab w:val="clear" w:pos="1260"/>
        </w:tabs>
        <w:spacing w:before="312"/>
        <w:ind w:left="851" w:hanging="834"/>
      </w:pPr>
      <w:r>
        <w:rPr>
          <w:rFonts w:hint="eastAsia"/>
        </w:rPr>
        <w:t>再生水工程</w:t>
      </w:r>
    </w:p>
    <w:p>
      <w:pPr>
        <w:pStyle w:val="131"/>
        <w:spacing w:before="156"/>
        <w:ind w:left="960"/>
        <w:rPr>
          <w:rFonts w:ascii="宋体" w:hAnsi="宋体"/>
        </w:rPr>
      </w:pPr>
      <w:r>
        <w:rPr>
          <w:rFonts w:hint="eastAsia" w:ascii="宋体" w:hAnsi="宋体"/>
        </w:rPr>
        <w:t>（1）再生水量预测</w:t>
      </w:r>
    </w:p>
    <w:p>
      <w:pPr>
        <w:spacing w:before="156"/>
        <w:rPr>
          <w:rFonts w:ascii="宋体" w:hAnsi="宋体"/>
        </w:rPr>
      </w:pPr>
      <w:r>
        <w:rPr>
          <w:rFonts w:hint="eastAsia" w:ascii="宋体" w:hAnsi="宋体"/>
        </w:rPr>
        <w:t>规划再生水作为生活杂用水、城市绿化、城市道路用水和工业回用,</w:t>
      </w:r>
      <w:r>
        <w:rPr>
          <w:rFonts w:ascii="宋体" w:hAnsi="宋体"/>
        </w:rPr>
        <w:t>计算中心城区</w:t>
      </w:r>
      <w:r>
        <w:rPr>
          <w:rFonts w:hint="default" w:ascii="Times New Roman" w:hAnsi="Times New Roman" w:cs="Times New Roman"/>
        </w:rPr>
        <w:t>2030</w:t>
      </w:r>
      <w:r>
        <w:rPr>
          <w:rFonts w:ascii="宋体" w:hAnsi="宋体"/>
        </w:rPr>
        <w:t>年再生水</w:t>
      </w:r>
      <w:r>
        <w:rPr>
          <w:rFonts w:hint="eastAsia" w:ascii="宋体" w:hAnsi="宋体"/>
        </w:rPr>
        <w:t>需水</w:t>
      </w:r>
      <w:r>
        <w:rPr>
          <w:rFonts w:ascii="宋体" w:hAnsi="宋体"/>
        </w:rPr>
        <w:t>量为</w:t>
      </w:r>
      <w:r>
        <w:rPr>
          <w:rFonts w:hint="default" w:ascii="Times New Roman" w:hAnsi="Times New Roman" w:cs="Times New Roman"/>
        </w:rPr>
        <w:t>14</w:t>
      </w:r>
      <w:r>
        <w:rPr>
          <w:rFonts w:ascii="宋体" w:hAnsi="宋体"/>
        </w:rPr>
        <w:t>万立方米/日</w:t>
      </w:r>
      <w:r>
        <w:rPr>
          <w:rFonts w:hint="eastAsia" w:ascii="宋体" w:hAnsi="宋体"/>
        </w:rPr>
        <w:t>。</w:t>
      </w:r>
    </w:p>
    <w:p>
      <w:pPr>
        <w:pStyle w:val="131"/>
        <w:spacing w:before="156"/>
        <w:ind w:left="960"/>
        <w:rPr>
          <w:rFonts w:ascii="宋体" w:hAnsi="宋体"/>
        </w:rPr>
      </w:pPr>
      <w:r>
        <w:rPr>
          <w:rFonts w:hint="eastAsia" w:ascii="宋体" w:hAnsi="宋体"/>
        </w:rPr>
        <w:t>（2）再生水设施规划</w:t>
      </w:r>
    </w:p>
    <w:p>
      <w:pPr>
        <w:spacing w:before="156"/>
        <w:rPr>
          <w:rFonts w:ascii="宋体" w:hAnsi="宋体"/>
        </w:rPr>
      </w:pPr>
      <w:r>
        <w:rPr>
          <w:rFonts w:hint="eastAsia" w:ascii="宋体" w:hAnsi="宋体"/>
        </w:rPr>
        <w:t>规划期末，中心城区再生水厂处理能力达到</w:t>
      </w:r>
      <w:r>
        <w:rPr>
          <w:rFonts w:hint="default" w:ascii="Times New Roman" w:hAnsi="Times New Roman" w:cs="Times New Roman"/>
        </w:rPr>
        <w:t>14.6</w:t>
      </w:r>
      <w:r>
        <w:rPr>
          <w:rFonts w:hint="eastAsia" w:ascii="宋体" w:hAnsi="宋体"/>
        </w:rPr>
        <w:t>万立方米/日。其中第二污水处理厂再生水回用规模为</w:t>
      </w:r>
      <w:r>
        <w:rPr>
          <w:rFonts w:hint="default" w:ascii="Times New Roman" w:hAnsi="Times New Roman" w:cs="Times New Roman"/>
        </w:rPr>
        <w:t>11</w:t>
      </w:r>
      <w:r>
        <w:rPr>
          <w:rFonts w:hint="eastAsia" w:ascii="宋体" w:hAnsi="宋体"/>
        </w:rPr>
        <w:t>万立方米/日（主要供瑞光电厂、国电榆次热电厂再生回用以及绿化浇洒、生态水系补水）；高教园污水处理厂再生水回用规模</w:t>
      </w:r>
      <w:r>
        <w:rPr>
          <w:rFonts w:hint="default" w:ascii="Times New Roman" w:hAnsi="Times New Roman" w:cs="Times New Roman"/>
        </w:rPr>
        <w:t>3.6</w:t>
      </w:r>
      <w:r>
        <w:rPr>
          <w:rFonts w:hint="eastAsia" w:ascii="宋体" w:hAnsi="宋体"/>
        </w:rPr>
        <w:t>万立方米（主要供校区回用以及绿化浇洒、生态补水）。</w:t>
      </w:r>
    </w:p>
    <w:p>
      <w:pPr>
        <w:spacing w:before="156"/>
        <w:rPr>
          <w:rFonts w:ascii="宋体" w:hAnsi="宋体"/>
        </w:rPr>
      </w:pPr>
      <w:r>
        <w:rPr>
          <w:rFonts w:hint="eastAsia" w:ascii="宋体" w:hAnsi="宋体"/>
        </w:rPr>
        <w:t>规划沿龙湖街、迎宾西街、文津街新敷设再生水主干管，主要服务于周边的建筑中水、道路浇洒、景观补水等；在新建工业区内敷设再生水干管，供工业再生水用户；同时在潇河起步区敷设再生水干管，主要供潇河起步区再生回用以及绿化浇洒、生态补水。</w:t>
      </w:r>
    </w:p>
    <w:p>
      <w:pPr>
        <w:spacing w:before="156"/>
        <w:rPr>
          <w:rFonts w:ascii="宋体" w:hAnsi="宋体"/>
        </w:rPr>
      </w:pPr>
      <w:r>
        <w:rPr>
          <w:rFonts w:hint="eastAsia" w:ascii="宋体" w:hAnsi="宋体"/>
        </w:rPr>
        <w:t>根据用户对水压的要求不同，工业用水、景观用水采用一套系统，建筑中水采用一套系统。新建由污水再生处理厂至用户的再生水主干管，同时布置再生水取水点，满足道路清洗、绿化浇洒。</w:t>
      </w:r>
    </w:p>
    <w:p>
      <w:pPr>
        <w:pStyle w:val="4"/>
        <w:tabs>
          <w:tab w:val="left" w:pos="993"/>
          <w:tab w:val="clear" w:pos="1260"/>
        </w:tabs>
        <w:spacing w:before="312"/>
        <w:ind w:left="851" w:hanging="834"/>
      </w:pPr>
      <w:r>
        <w:rPr>
          <w:rFonts w:hint="eastAsia"/>
        </w:rPr>
        <w:t>供电工程</w:t>
      </w:r>
    </w:p>
    <w:p>
      <w:pPr>
        <w:pStyle w:val="131"/>
        <w:spacing w:before="156"/>
        <w:ind w:left="960"/>
        <w:rPr>
          <w:rFonts w:ascii="宋体" w:hAnsi="宋体"/>
        </w:rPr>
      </w:pPr>
      <w:r>
        <w:rPr>
          <w:rFonts w:hint="eastAsia" w:ascii="宋体" w:hAnsi="宋体"/>
        </w:rPr>
        <w:t>（1）负荷预测</w:t>
      </w:r>
    </w:p>
    <w:p>
      <w:pPr>
        <w:spacing w:before="156"/>
        <w:rPr>
          <w:rFonts w:ascii="宋体" w:hAnsi="宋体"/>
        </w:rPr>
      </w:pPr>
      <w:r>
        <w:rPr>
          <w:rFonts w:hint="eastAsia" w:ascii="宋体" w:hAnsi="宋体"/>
        </w:rPr>
        <w:t>至规划期末，中心城区最大电力负荷约</w:t>
      </w:r>
      <w:r>
        <w:rPr>
          <w:rFonts w:hint="default" w:ascii="Times New Roman" w:hAnsi="Times New Roman" w:cs="Times New Roman"/>
        </w:rPr>
        <w:t>122</w:t>
      </w:r>
      <w:r>
        <w:rPr>
          <w:rFonts w:hint="eastAsia" w:ascii="宋体" w:hAnsi="宋体"/>
        </w:rPr>
        <w:t>万千瓦，全社会年用电量约</w:t>
      </w:r>
      <w:r>
        <w:rPr>
          <w:rFonts w:hint="default" w:ascii="Times New Roman" w:hAnsi="Times New Roman" w:cs="Times New Roman"/>
        </w:rPr>
        <w:t>55</w:t>
      </w:r>
      <w:r>
        <w:rPr>
          <w:rFonts w:hint="eastAsia" w:ascii="宋体" w:hAnsi="宋体"/>
        </w:rPr>
        <w:t>亿千瓦时。</w:t>
      </w:r>
    </w:p>
    <w:p>
      <w:pPr>
        <w:pStyle w:val="131"/>
        <w:spacing w:before="156"/>
        <w:ind w:left="960"/>
        <w:rPr>
          <w:rFonts w:ascii="宋体" w:hAnsi="宋体"/>
        </w:rPr>
      </w:pPr>
      <w:r>
        <w:rPr>
          <w:rFonts w:hint="eastAsia" w:ascii="宋体" w:hAnsi="宋体"/>
        </w:rPr>
        <w:t>（2）电源规划</w:t>
      </w:r>
    </w:p>
    <w:p>
      <w:pPr>
        <w:spacing w:before="156"/>
        <w:rPr>
          <w:rFonts w:ascii="宋体" w:hAnsi="宋体"/>
        </w:rPr>
      </w:pPr>
      <w:r>
        <w:rPr>
          <w:rFonts w:hint="eastAsia" w:ascii="宋体" w:hAnsi="宋体"/>
        </w:rPr>
        <w:t>规划对瑞光热电厂、国电榆次热电厂进行二期扩容；扩容后瑞光热电厂装机容量为</w:t>
      </w:r>
      <w:r>
        <w:rPr>
          <w:rFonts w:hint="default" w:ascii="Times New Roman" w:hAnsi="Times New Roman" w:cs="Times New Roman"/>
        </w:rPr>
        <w:t>180</w:t>
      </w:r>
      <w:r>
        <w:rPr>
          <w:rFonts w:hint="eastAsia" w:ascii="宋体" w:hAnsi="宋体"/>
        </w:rPr>
        <w:t>万千瓦，国电榆次热电厂装机容量为</w:t>
      </w:r>
      <w:r>
        <w:rPr>
          <w:rFonts w:hint="default" w:ascii="Times New Roman" w:hAnsi="Times New Roman" w:cs="Times New Roman"/>
        </w:rPr>
        <w:t>198</w:t>
      </w:r>
      <w:r>
        <w:rPr>
          <w:rFonts w:hint="eastAsia" w:ascii="宋体" w:hAnsi="宋体"/>
        </w:rPr>
        <w:t>万千瓦。</w:t>
      </w:r>
    </w:p>
    <w:p>
      <w:pPr>
        <w:spacing w:before="156"/>
        <w:rPr>
          <w:rFonts w:ascii="宋体" w:hAnsi="宋体"/>
        </w:rPr>
      </w:pPr>
      <w:r>
        <w:rPr>
          <w:rFonts w:hint="eastAsia" w:ascii="宋体" w:hAnsi="宋体"/>
        </w:rPr>
        <w:t>规划对</w:t>
      </w:r>
      <w:r>
        <w:rPr>
          <w:rFonts w:hint="default" w:ascii="Times New Roman" w:hAnsi="Times New Roman" w:cs="Times New Roman"/>
        </w:rPr>
        <w:t>500kV</w:t>
      </w:r>
      <w:r>
        <w:rPr>
          <w:rFonts w:hint="eastAsia" w:ascii="宋体" w:hAnsi="宋体"/>
        </w:rPr>
        <w:t>福瑞变电站、</w:t>
      </w:r>
      <w:r>
        <w:rPr>
          <w:rFonts w:hint="default" w:ascii="Times New Roman" w:hAnsi="Times New Roman" w:cs="Times New Roman"/>
        </w:rPr>
        <w:t>500kV</w:t>
      </w:r>
      <w:r>
        <w:rPr>
          <w:rFonts w:hint="eastAsia" w:ascii="宋体" w:hAnsi="宋体"/>
        </w:rPr>
        <w:t>晋中变电站进行扩容；扩容后</w:t>
      </w:r>
      <w:r>
        <w:rPr>
          <w:rFonts w:hint="default" w:ascii="Times New Roman" w:hAnsi="Times New Roman" w:cs="Times New Roman"/>
        </w:rPr>
        <w:t>500kV</w:t>
      </w:r>
      <w:r>
        <w:rPr>
          <w:rFonts w:hint="eastAsia" w:ascii="宋体" w:hAnsi="宋体"/>
        </w:rPr>
        <w:t>福瑞主变容量为</w:t>
      </w:r>
      <w:r>
        <w:rPr>
          <w:rFonts w:hint="default" w:ascii="Times New Roman" w:hAnsi="Times New Roman" w:cs="Times New Roman"/>
        </w:rPr>
        <w:t>3×1000MVA</w:t>
      </w:r>
      <w:r>
        <w:rPr>
          <w:rFonts w:hint="eastAsia" w:ascii="宋体" w:hAnsi="宋体"/>
        </w:rPr>
        <w:t>，</w:t>
      </w:r>
      <w:r>
        <w:rPr>
          <w:rFonts w:hint="default" w:ascii="Times New Roman" w:hAnsi="Times New Roman" w:cs="Times New Roman"/>
        </w:rPr>
        <w:t>500kV</w:t>
      </w:r>
      <w:r>
        <w:rPr>
          <w:rFonts w:hint="eastAsia" w:ascii="宋体" w:hAnsi="宋体"/>
        </w:rPr>
        <w:t>晋中变电站主变容量为</w:t>
      </w:r>
      <w:r>
        <w:rPr>
          <w:rFonts w:hint="default" w:ascii="Times New Roman" w:hAnsi="Times New Roman" w:cs="Times New Roman"/>
        </w:rPr>
        <w:t>3×750MVA</w:t>
      </w:r>
      <w:r>
        <w:rPr>
          <w:rFonts w:hint="eastAsia" w:ascii="宋体" w:hAnsi="宋体"/>
        </w:rPr>
        <w:t>。</w:t>
      </w:r>
    </w:p>
    <w:p>
      <w:pPr>
        <w:spacing w:before="156"/>
        <w:rPr>
          <w:rFonts w:ascii="宋体" w:hAnsi="宋体"/>
        </w:rPr>
      </w:pPr>
      <w:r>
        <w:rPr>
          <w:rFonts w:hint="eastAsia" w:ascii="宋体" w:hAnsi="宋体"/>
        </w:rPr>
        <w:t>至规划期末，中心城区</w:t>
      </w:r>
      <w:r>
        <w:rPr>
          <w:rFonts w:hint="default" w:ascii="Times New Roman" w:hAnsi="Times New Roman" w:cs="Times New Roman"/>
        </w:rPr>
        <w:t>220kV</w:t>
      </w:r>
      <w:r>
        <w:rPr>
          <w:rFonts w:hint="eastAsia" w:ascii="宋体" w:hAnsi="宋体"/>
        </w:rPr>
        <w:t>电网以瑞光热电厂、国电榆次热电厂及</w:t>
      </w:r>
      <w:r>
        <w:rPr>
          <w:rFonts w:hint="default" w:ascii="Times New Roman" w:hAnsi="Times New Roman" w:cs="Times New Roman"/>
        </w:rPr>
        <w:t>500kV</w:t>
      </w:r>
      <w:r>
        <w:rPr>
          <w:rFonts w:hint="eastAsia" w:ascii="宋体" w:hAnsi="宋体"/>
        </w:rPr>
        <w:t>福瑞变电站、</w:t>
      </w:r>
      <w:r>
        <w:rPr>
          <w:rFonts w:hint="default" w:ascii="Times New Roman" w:hAnsi="Times New Roman" w:cs="Times New Roman"/>
        </w:rPr>
        <w:t>500kV</w:t>
      </w:r>
      <w:r>
        <w:rPr>
          <w:rFonts w:hint="eastAsia" w:ascii="宋体" w:hAnsi="宋体"/>
        </w:rPr>
        <w:t>晋中变电站为电源。</w:t>
      </w:r>
    </w:p>
    <w:p>
      <w:pPr>
        <w:pStyle w:val="131"/>
        <w:spacing w:before="156"/>
        <w:ind w:left="960"/>
        <w:rPr>
          <w:rFonts w:ascii="宋体" w:hAnsi="宋体"/>
        </w:rPr>
      </w:pPr>
      <w:r>
        <w:rPr>
          <w:rFonts w:hint="eastAsia" w:ascii="宋体" w:hAnsi="宋体"/>
        </w:rPr>
        <w:t>（3）电网规划</w:t>
      </w:r>
    </w:p>
    <w:p>
      <w:pPr>
        <w:spacing w:before="156"/>
        <w:rPr>
          <w:rFonts w:ascii="宋体" w:hAnsi="宋体"/>
        </w:rPr>
      </w:pPr>
      <w:r>
        <w:rPr>
          <w:rFonts w:hint="eastAsia" w:ascii="宋体" w:hAnsi="宋体"/>
        </w:rPr>
        <w:t>形成以</w:t>
      </w:r>
      <w:r>
        <w:rPr>
          <w:rFonts w:hint="default" w:ascii="Times New Roman" w:hAnsi="Times New Roman" w:cs="Times New Roman"/>
        </w:rPr>
        <w:t>500kV</w:t>
      </w:r>
      <w:r>
        <w:rPr>
          <w:rFonts w:hint="eastAsia" w:ascii="宋体" w:hAnsi="宋体"/>
        </w:rPr>
        <w:t>变电站、热电厂为电源，</w:t>
      </w:r>
      <w:r>
        <w:rPr>
          <w:rFonts w:hint="default" w:ascii="Times New Roman" w:hAnsi="Times New Roman" w:cs="Times New Roman"/>
        </w:rPr>
        <w:t>220kV</w:t>
      </w:r>
      <w:r>
        <w:rPr>
          <w:rFonts w:hint="eastAsia" w:ascii="宋体" w:hAnsi="宋体"/>
        </w:rPr>
        <w:t>电网为输电骨架，</w:t>
      </w:r>
      <w:r>
        <w:rPr>
          <w:rFonts w:hint="default" w:ascii="Times New Roman" w:hAnsi="Times New Roman" w:cs="Times New Roman"/>
        </w:rPr>
        <w:t>110kV</w:t>
      </w:r>
      <w:r>
        <w:rPr>
          <w:rFonts w:hint="eastAsia" w:ascii="宋体" w:hAnsi="宋体"/>
        </w:rPr>
        <w:t>电网“手拉手”分片区的供电格局。</w:t>
      </w:r>
    </w:p>
    <w:p>
      <w:pPr>
        <w:spacing w:before="156"/>
        <w:rPr>
          <w:rFonts w:ascii="Times New Roman" w:hAnsi="Times New Roman"/>
        </w:rPr>
      </w:pPr>
      <w:r>
        <w:rPr>
          <w:rFonts w:hint="eastAsia" w:ascii="Times New Roman" w:hAnsi="Times New Roman"/>
        </w:rPr>
        <w:t>2.扩容现状220kV榆次变电站、220kV北田变电站及220kV天湖变电站，规划新建220kV经纬变电站、220kV潇河变电站，保留220kV太钢万邦用户变及220kV晋中东牵引变电站；至规划期末，中心城区共有220kV变电站7座（含用户变2座），220kV公用变电站主变容量达到2280MVA。各新建220kV变电站建议采用半户内式或户内式结构，每座预留用地不超过2万平方米。</w:t>
      </w:r>
    </w:p>
    <w:p>
      <w:pPr>
        <w:spacing w:before="156"/>
        <w:rPr>
          <w:rFonts w:ascii="Times New Roman" w:hAnsi="Times New Roman"/>
        </w:rPr>
      </w:pPr>
      <w:r>
        <w:rPr>
          <w:rFonts w:hint="eastAsia" w:ascii="Times New Roman" w:hAnsi="Times New Roman"/>
        </w:rPr>
        <w:t>保留现状110kV鸣谦变电站、110kV韩村变电站、110kV城中变电站等6座110kV变电站；扩容现状110kV东郊变电站、110kV西郊变电站、110kV北郊变电站等6座110kV变电站；规划新建110kV汇阜变电站、110kV杨盘变电站、110kV迎宾西变电站等8座110kV变电站；至规划期末，中心城区共有110kV变电站20座（含用户变1座），110kV变电站主变容量达到2711MVA。各新建110kV变电站建议采用户内式结构，每座预留用地不超过0.6万平方米。</w:t>
      </w:r>
    </w:p>
    <w:p>
      <w:pPr>
        <w:pStyle w:val="42"/>
        <w:rPr>
          <w:rStyle w:val="52"/>
          <w:color w:val="auto"/>
        </w:rPr>
      </w:pPr>
      <w:r>
        <w:rPr>
          <w:rStyle w:val="52"/>
          <w:rFonts w:hint="eastAsia"/>
          <w:color w:val="auto"/>
        </w:rPr>
        <w:t>严格保留现状500kV高压走廊用地，500kV高压走廊（单塔单回水平排列或单塔多回垂直排列）控制宽度为60-75米；220kV高压线路沿城市外围架设，新建220kV高压走廊（单塔单回水平排列或单塔多回垂直排列）控制宽度为30-40米；对现状穿越城市建设用地的110kV线路进行改造，规划新建110kV线路主要沿道路绿化带敷设，110kV高压走廊（单塔单回水平排列或单塔多回垂直排列）控制宽度为15-25米；其中重要景区、对架空裸导线有严重腐蚀地区、城市中心地区、高层建筑群区、主干道及繁华街道等宜采用110kV地下电缆入地敷设。</w:t>
      </w:r>
    </w:p>
    <w:p>
      <w:pPr>
        <w:spacing w:before="156"/>
      </w:pPr>
      <w:r>
        <w:rPr>
          <w:rFonts w:hint="eastAsia" w:ascii="宋体" w:hAnsi="宋体"/>
        </w:rPr>
        <w:t>对</w:t>
      </w:r>
      <w:r>
        <w:rPr>
          <w:rFonts w:ascii="宋体" w:hAnsi="宋体"/>
        </w:rPr>
        <w:t>穿越</w:t>
      </w:r>
      <w:r>
        <w:rPr>
          <w:rFonts w:hint="eastAsia" w:ascii="宋体" w:hAnsi="宋体"/>
        </w:rPr>
        <w:t>综改示范区潇河现代产业园区</w:t>
      </w:r>
      <w:r>
        <w:rPr>
          <w:rFonts w:ascii="宋体" w:hAnsi="宋体"/>
        </w:rPr>
        <w:t>的</w:t>
      </w:r>
      <w:r>
        <w:rPr>
          <w:rFonts w:hint="default" w:ascii="Times New Roman" w:hAnsi="Times New Roman" w:cs="Times New Roman"/>
        </w:rPr>
        <w:t>500kV</w:t>
      </w:r>
      <w:r>
        <w:rPr>
          <w:rFonts w:ascii="宋体" w:hAnsi="宋体"/>
        </w:rPr>
        <w:t>线路近期保持现状</w:t>
      </w:r>
      <w:r>
        <w:rPr>
          <w:rFonts w:hint="eastAsia" w:ascii="宋体" w:hAnsi="宋体"/>
        </w:rPr>
        <w:t>,</w:t>
      </w:r>
      <w:r>
        <w:rPr>
          <w:rFonts w:ascii="宋体" w:hAnsi="宋体"/>
        </w:rPr>
        <w:t>具体线路改线应结合产业</w:t>
      </w:r>
      <w:r>
        <w:rPr>
          <w:rFonts w:hint="eastAsia" w:ascii="宋体" w:hAnsi="宋体"/>
        </w:rPr>
        <w:t>园</w:t>
      </w:r>
      <w:r>
        <w:rPr>
          <w:rFonts w:ascii="宋体" w:hAnsi="宋体"/>
        </w:rPr>
        <w:t>区</w:t>
      </w:r>
      <w:r>
        <w:rPr>
          <w:rFonts w:hint="eastAsia" w:ascii="宋体" w:hAnsi="宋体"/>
        </w:rPr>
        <w:t>的</w:t>
      </w:r>
      <w:r>
        <w:rPr>
          <w:rFonts w:ascii="宋体" w:hAnsi="宋体"/>
        </w:rPr>
        <w:t>建设进度进行</w:t>
      </w:r>
      <w:r>
        <w:rPr>
          <w:rFonts w:hint="eastAsia" w:ascii="宋体" w:hAnsi="宋体"/>
        </w:rPr>
        <w:t>。</w:t>
      </w:r>
    </w:p>
    <w:p>
      <w:pPr>
        <w:pStyle w:val="4"/>
        <w:tabs>
          <w:tab w:val="left" w:pos="993"/>
          <w:tab w:val="clear" w:pos="1260"/>
        </w:tabs>
        <w:spacing w:before="312"/>
        <w:ind w:left="851" w:hanging="834"/>
      </w:pPr>
      <w:r>
        <w:rPr>
          <w:rFonts w:hint="eastAsia"/>
        </w:rPr>
        <w:t>通信工程</w:t>
      </w:r>
    </w:p>
    <w:p>
      <w:pPr>
        <w:pStyle w:val="131"/>
        <w:spacing w:before="156"/>
        <w:ind w:left="960"/>
        <w:rPr>
          <w:rFonts w:ascii="宋体" w:hAnsi="宋体"/>
        </w:rPr>
      </w:pPr>
      <w:r>
        <w:rPr>
          <w:rFonts w:hint="eastAsia" w:ascii="宋体" w:hAnsi="宋体"/>
        </w:rPr>
        <w:t>（1）用户预测</w:t>
      </w:r>
    </w:p>
    <w:p>
      <w:pPr>
        <w:spacing w:before="156"/>
        <w:rPr>
          <w:rFonts w:ascii="Times New Roman" w:hAnsi="Times New Roman"/>
        </w:rPr>
      </w:pPr>
      <w:r>
        <w:rPr>
          <w:rFonts w:hint="eastAsia" w:ascii="Times New Roman" w:hAnsi="Times New Roman"/>
        </w:rPr>
        <w:t>至规划期末，中心城区固定电话用户约66万线，移动电话用户约158万卡号，有线电视用户约38万户。</w:t>
      </w:r>
    </w:p>
    <w:p>
      <w:pPr>
        <w:pStyle w:val="131"/>
        <w:spacing w:before="156"/>
        <w:ind w:left="960"/>
        <w:rPr>
          <w:rFonts w:ascii="Times New Roman" w:hAnsi="Times New Roman"/>
        </w:rPr>
      </w:pPr>
      <w:r>
        <w:rPr>
          <w:rFonts w:hint="eastAsia" w:ascii="Times New Roman" w:hAnsi="Times New Roman"/>
        </w:rPr>
        <w:t>（2）局所规划</w:t>
      </w:r>
    </w:p>
    <w:p>
      <w:pPr>
        <w:spacing w:before="156"/>
        <w:rPr>
          <w:rFonts w:ascii="Times New Roman" w:hAnsi="Times New Roman"/>
        </w:rPr>
      </w:pPr>
      <w:r>
        <w:rPr>
          <w:rFonts w:hint="eastAsia" w:ascii="Times New Roman" w:hAnsi="Times New Roman"/>
        </w:rPr>
        <w:t>保留现状通信中心局及通信端局，另在中都北路、西荣东路及潇河起步区各新增综合通信端局1座（含移动交换局、有线电视分前端），每座综合通信端局规划占地3000-6000平方米左右，固话交换机容量为6-10万门，移动交换机移动电话交换机为20-50万门。</w:t>
      </w:r>
    </w:p>
    <w:p>
      <w:pPr>
        <w:spacing w:before="156"/>
        <w:rPr>
          <w:rFonts w:ascii="Times New Roman" w:hAnsi="Times New Roman"/>
        </w:rPr>
      </w:pPr>
      <w:r>
        <w:rPr>
          <w:rFonts w:hint="eastAsia" w:ascii="Times New Roman" w:hAnsi="Times New Roman"/>
        </w:rPr>
        <w:t>保留现状邮政中心局及邮政支局所，另规划再新建邮政支局11处，各新建邮政支局以独立占地为主，每座预留用地面积1000平米。</w:t>
      </w:r>
    </w:p>
    <w:p>
      <w:pPr>
        <w:pStyle w:val="131"/>
        <w:spacing w:before="156"/>
        <w:ind w:left="960"/>
        <w:rPr>
          <w:rFonts w:ascii="宋体" w:hAnsi="宋体"/>
        </w:rPr>
      </w:pPr>
      <w:r>
        <w:rPr>
          <w:rFonts w:hint="eastAsia" w:ascii="宋体" w:hAnsi="宋体"/>
        </w:rPr>
        <w:t>（3）管网规划</w:t>
      </w:r>
    </w:p>
    <w:p>
      <w:pPr>
        <w:spacing w:before="156"/>
        <w:rPr>
          <w:rFonts w:ascii="宋体" w:hAnsi="宋体"/>
        </w:rPr>
      </w:pPr>
      <w:r>
        <w:rPr>
          <w:rFonts w:hint="eastAsia" w:ascii="宋体" w:hAnsi="宋体"/>
        </w:rPr>
        <w:t>通信管道建设遵循“统一规划、统一建设、统一管理”原则，新建通信管道由政府牵头，建设“同沟同井”综合通信管道，以出售或出租的形式交付各运营商使用。</w:t>
      </w:r>
    </w:p>
    <w:p>
      <w:pPr>
        <w:pStyle w:val="4"/>
        <w:tabs>
          <w:tab w:val="left" w:pos="993"/>
          <w:tab w:val="clear" w:pos="1260"/>
        </w:tabs>
        <w:spacing w:before="312"/>
        <w:ind w:left="851" w:hanging="834"/>
      </w:pPr>
      <w:r>
        <w:rPr>
          <w:rFonts w:hint="eastAsia"/>
        </w:rPr>
        <w:t>燃气工程</w:t>
      </w:r>
    </w:p>
    <w:p>
      <w:pPr>
        <w:pStyle w:val="131"/>
        <w:spacing w:before="156"/>
        <w:ind w:left="960"/>
        <w:rPr>
          <w:rFonts w:ascii="宋体" w:hAnsi="宋体"/>
        </w:rPr>
      </w:pPr>
      <w:r>
        <w:rPr>
          <w:rFonts w:hint="eastAsia" w:ascii="宋体" w:hAnsi="宋体"/>
        </w:rPr>
        <w:t>（1）用气量预测</w:t>
      </w:r>
    </w:p>
    <w:p>
      <w:pPr>
        <w:spacing w:before="156"/>
        <w:rPr>
          <w:rFonts w:ascii="宋体" w:hAnsi="宋体"/>
        </w:rPr>
      </w:pPr>
      <w:r>
        <w:rPr>
          <w:rFonts w:hint="eastAsia" w:ascii="宋体" w:hAnsi="宋体"/>
        </w:rPr>
        <w:t>至规划期末，中心城区总用气量约为</w:t>
      </w:r>
      <w:r>
        <w:rPr>
          <w:rFonts w:hint="default" w:ascii="Times New Roman" w:hAnsi="Times New Roman" w:cs="Times New Roman"/>
        </w:rPr>
        <w:t>3</w:t>
      </w:r>
      <w:r>
        <w:rPr>
          <w:rFonts w:hint="eastAsia" w:ascii="宋体" w:hAnsi="宋体"/>
        </w:rPr>
        <w:t>亿立方米/年。</w:t>
      </w:r>
    </w:p>
    <w:p>
      <w:pPr>
        <w:pStyle w:val="131"/>
        <w:spacing w:before="156"/>
        <w:ind w:left="960"/>
        <w:rPr>
          <w:rFonts w:ascii="宋体" w:hAnsi="宋体"/>
        </w:rPr>
      </w:pPr>
      <w:r>
        <w:rPr>
          <w:rFonts w:hint="eastAsia" w:ascii="宋体" w:hAnsi="宋体"/>
        </w:rPr>
        <w:t>（2）气源规划</w:t>
      </w:r>
    </w:p>
    <w:p>
      <w:pPr>
        <w:spacing w:before="156"/>
        <w:rPr>
          <w:rFonts w:ascii="宋体" w:hAnsi="宋体"/>
        </w:rPr>
      </w:pPr>
      <w:r>
        <w:rPr>
          <w:rFonts w:hint="eastAsia" w:ascii="宋体" w:hAnsi="宋体"/>
        </w:rPr>
        <w:t>以“陕京二线大盂</w:t>
      </w:r>
      <w:r>
        <w:rPr>
          <w:rFonts w:hint="eastAsia" w:ascii="宋体" w:hAnsi="宋体"/>
        </w:rPr>
        <w:softHyphen/>
      </w:r>
      <w:r>
        <w:rPr>
          <w:rFonts w:hint="eastAsia" w:ascii="宋体" w:hAnsi="宋体"/>
        </w:rPr>
        <w:t>—平遥”输气管线供给天然气；以“长治-太原”煤层气管线供给煤层气；以神龙焦化厂供给潇河起步区工业焦炉煤气的多气源局面。</w:t>
      </w:r>
    </w:p>
    <w:p>
      <w:pPr>
        <w:spacing w:before="156"/>
      </w:pPr>
      <w:r>
        <w:rPr>
          <w:rFonts w:hint="eastAsia" w:ascii="宋体" w:hAnsi="宋体"/>
        </w:rPr>
        <w:t>管道天然气和焦炉气未能普及的区域，可先期采用压缩天然气、瓶装或瓶组液化石油气供气，待条件成熟，联网实现区域管道供气。</w:t>
      </w:r>
    </w:p>
    <w:p>
      <w:pPr>
        <w:pStyle w:val="131"/>
        <w:spacing w:before="156"/>
        <w:ind w:left="960"/>
        <w:rPr>
          <w:rFonts w:ascii="宋体" w:hAnsi="宋体"/>
        </w:rPr>
      </w:pPr>
      <w:r>
        <w:rPr>
          <w:rFonts w:hint="eastAsia" w:ascii="宋体" w:hAnsi="宋体"/>
        </w:rPr>
        <w:t>（3）场站规划</w:t>
      </w:r>
    </w:p>
    <w:p>
      <w:pPr>
        <w:spacing w:before="156"/>
        <w:rPr>
          <w:kern w:val="0"/>
        </w:rPr>
      </w:pPr>
      <w:r>
        <w:rPr>
          <w:rFonts w:hint="eastAsia"/>
          <w:kern w:val="0"/>
        </w:rPr>
        <w:t>现状杨盘分输站搬迁至太旧高速以南、龙城高速以东，预留</w:t>
      </w:r>
      <w:r>
        <w:rPr>
          <w:kern w:val="0"/>
        </w:rPr>
        <w:t>用地约1</w:t>
      </w:r>
      <w:r>
        <w:rPr>
          <w:rFonts w:hint="eastAsia"/>
          <w:kern w:val="0"/>
        </w:rPr>
        <w:t>万平方米；</w:t>
      </w:r>
    </w:p>
    <w:p>
      <w:pPr>
        <w:spacing w:before="156"/>
        <w:rPr>
          <w:rFonts w:ascii="Times New Roman" w:hAnsi="Times New Roman"/>
          <w:kern w:val="0"/>
        </w:rPr>
      </w:pPr>
      <w:r>
        <w:rPr>
          <w:rFonts w:hint="eastAsia" w:ascii="Times New Roman" w:hAnsi="Times New Roman"/>
          <w:kern w:val="0"/>
        </w:rPr>
        <w:t>现状杨盘门站</w:t>
      </w:r>
      <w:r>
        <w:rPr>
          <w:rFonts w:hint="eastAsia" w:ascii="Times New Roman" w:hAnsi="Times New Roman"/>
        </w:rPr>
        <w:t>迁建</w:t>
      </w:r>
      <w:r>
        <w:rPr>
          <w:rFonts w:ascii="Times New Roman" w:hAnsi="Times New Roman"/>
        </w:rPr>
        <w:t>至</w:t>
      </w:r>
      <w:r>
        <w:rPr>
          <w:rFonts w:hint="eastAsia" w:ascii="Times New Roman" w:hAnsi="Times New Roman"/>
        </w:rPr>
        <w:t>城北鸣谦大街</w:t>
      </w:r>
      <w:r>
        <w:rPr>
          <w:rFonts w:ascii="Times New Roman" w:hAnsi="Times New Roman"/>
        </w:rPr>
        <w:t>东段</w:t>
      </w:r>
      <w:r>
        <w:rPr>
          <w:rFonts w:hint="eastAsia" w:ascii="Times New Roman" w:hAnsi="Times New Roman"/>
        </w:rPr>
        <w:t>路北，</w:t>
      </w:r>
      <w:r>
        <w:rPr>
          <w:rFonts w:ascii="Times New Roman" w:hAnsi="Times New Roman"/>
        </w:rPr>
        <w:t>预留用地约</w:t>
      </w:r>
      <w:r>
        <w:rPr>
          <w:rFonts w:hint="eastAsia" w:ascii="Times New Roman" w:hAnsi="Times New Roman"/>
        </w:rPr>
        <w:t>1万</w:t>
      </w:r>
      <w:r>
        <w:rPr>
          <w:rFonts w:ascii="Times New Roman" w:hAnsi="Times New Roman"/>
        </w:rPr>
        <w:t>平方米。</w:t>
      </w:r>
    </w:p>
    <w:p>
      <w:pPr>
        <w:spacing w:before="156"/>
        <w:rPr>
          <w:rFonts w:ascii="Times New Roman" w:hAnsi="Times New Roman"/>
        </w:rPr>
      </w:pPr>
      <w:r>
        <w:rPr>
          <w:rFonts w:hint="eastAsia" w:ascii="Times New Roman" w:hAnsi="Times New Roman"/>
        </w:rPr>
        <w:t>规划新建修文LNG储配站，储气能力5000立方米，预留用地约1.5万平方米，解决中心城区燃气应急调峰及储气能力不足的问题。</w:t>
      </w:r>
    </w:p>
    <w:p>
      <w:pPr>
        <w:spacing w:before="156"/>
        <w:rPr>
          <w:rFonts w:ascii="Times New Roman" w:hAnsi="Times New Roman"/>
        </w:rPr>
      </w:pPr>
      <w:r>
        <w:rPr>
          <w:rFonts w:hint="eastAsia" w:ascii="Times New Roman" w:hAnsi="Times New Roman"/>
        </w:rPr>
        <w:t>规划分别在城东、城南及城西各新建次高压-中压调压站1座，每座调压站预留用地2000-2500平方米。</w:t>
      </w:r>
    </w:p>
    <w:p>
      <w:pPr>
        <w:spacing w:before="156"/>
        <w:rPr>
          <w:rFonts w:ascii="Times New Roman" w:hAnsi="Times New Roman"/>
        </w:rPr>
      </w:pPr>
      <w:r>
        <w:rPr>
          <w:rFonts w:hint="eastAsia" w:ascii="Times New Roman" w:hAnsi="Times New Roman"/>
        </w:rPr>
        <w:t>保留神龙焦化厂储配站，向潇河起步区提供工业焦炉煤气，逐步淘汰煤气公司储配站和经纬厂储配站。</w:t>
      </w:r>
    </w:p>
    <w:p>
      <w:pPr>
        <w:spacing w:before="156"/>
        <w:rPr>
          <w:rFonts w:ascii="Times New Roman" w:hAnsi="Times New Roman"/>
        </w:rPr>
      </w:pPr>
      <w:r>
        <w:rPr>
          <w:rFonts w:hint="eastAsia" w:ascii="Times New Roman" w:hAnsi="Times New Roman"/>
        </w:rPr>
        <w:t>规划新建汽车加气站8座，每座规模为1-1.5万立方米/日，与加油站合建为主，采用地下储罐式结构。</w:t>
      </w:r>
    </w:p>
    <w:p>
      <w:pPr>
        <w:pStyle w:val="131"/>
        <w:spacing w:before="156"/>
        <w:ind w:left="960"/>
        <w:rPr>
          <w:rFonts w:ascii="宋体" w:hAnsi="宋体"/>
        </w:rPr>
      </w:pPr>
      <w:r>
        <w:rPr>
          <w:rFonts w:hint="eastAsia" w:ascii="宋体" w:hAnsi="宋体"/>
        </w:rPr>
        <w:t>（4）管网规划</w:t>
      </w:r>
    </w:p>
    <w:p>
      <w:pPr>
        <w:spacing w:before="156"/>
        <w:rPr>
          <w:rFonts w:ascii="宋体" w:hAnsi="宋体"/>
        </w:rPr>
      </w:pPr>
      <w:r>
        <w:rPr>
          <w:rFonts w:hint="eastAsia" w:ascii="宋体" w:hAnsi="宋体"/>
        </w:rPr>
        <w:t>将“陕京二线大盂</w:t>
      </w:r>
      <w:r>
        <w:rPr>
          <w:rFonts w:hint="eastAsia" w:ascii="宋体" w:hAnsi="宋体"/>
        </w:rPr>
        <w:softHyphen/>
      </w:r>
      <w:r>
        <w:rPr>
          <w:rFonts w:hint="eastAsia" w:ascii="宋体" w:hAnsi="宋体"/>
        </w:rPr>
        <w:t>—平遥”输气管线、“长治-太原”煤层气管线、“石家庄至太原”成品油管线改线至太旧高速北侧和龙城高速东侧，</w:t>
      </w:r>
      <w:r>
        <w:rPr>
          <w:rFonts w:ascii="宋体" w:hAnsi="宋体"/>
        </w:rPr>
        <w:t>并预留大盂—平遥的副线和太原市环城高压储气管线</w:t>
      </w:r>
      <w:r>
        <w:rPr>
          <w:rFonts w:hint="eastAsia" w:ascii="宋体" w:hAnsi="宋体"/>
        </w:rPr>
        <w:t>管位</w:t>
      </w:r>
      <w:r>
        <w:rPr>
          <w:rFonts w:ascii="宋体" w:hAnsi="宋体"/>
        </w:rPr>
        <w:t>。</w:t>
      </w:r>
    </w:p>
    <w:p>
      <w:pPr>
        <w:spacing w:before="156"/>
        <w:rPr>
          <w:rFonts w:ascii="Times New Roman" w:hAnsi="Times New Roman"/>
        </w:rPr>
      </w:pPr>
      <w:r>
        <w:rPr>
          <w:rFonts w:hint="eastAsia" w:ascii="Times New Roman" w:hAnsi="Times New Roman"/>
        </w:rPr>
        <w:t>规划沿太旧高速公路绿化带、龙城高速公路绿化带建设燃气高压环网（4.0Mpa）。</w:t>
      </w:r>
    </w:p>
    <w:p>
      <w:pPr>
        <w:spacing w:before="156"/>
        <w:rPr>
          <w:rFonts w:ascii="Times New Roman" w:hAnsi="Times New Roman"/>
        </w:rPr>
      </w:pPr>
      <w:r>
        <w:rPr>
          <w:rFonts w:hint="eastAsia" w:ascii="Times New Roman" w:hAnsi="Times New Roman"/>
        </w:rPr>
        <w:t>规划沿环城北路、环城东路、环城南路及综合通道建设次高压管网（其中将现状环城东路4.0Mpa高压管网降压至1.6Mpa次高压运行）。</w:t>
      </w:r>
    </w:p>
    <w:p>
      <w:pPr>
        <w:spacing w:before="156"/>
        <w:rPr>
          <w:rFonts w:ascii="Times New Roman" w:hAnsi="Times New Roman"/>
        </w:rPr>
      </w:pPr>
      <w:r>
        <w:rPr>
          <w:rFonts w:hint="eastAsia" w:ascii="Times New Roman" w:hAnsi="Times New Roman"/>
        </w:rPr>
        <w:t>保留现状中压天然气管道，将现状焦炉煤气管网置换为天然气管网，新建中压天然气管网沿中心城区内主干道路入地敷设，设计压力0.4MPa。</w:t>
      </w:r>
    </w:p>
    <w:p>
      <w:pPr>
        <w:pStyle w:val="42"/>
        <w:rPr>
          <w:rFonts w:ascii="宋体" w:hAnsi="宋体"/>
          <w:color w:val="auto"/>
        </w:rPr>
      </w:pPr>
      <w:r>
        <w:rPr>
          <w:rFonts w:hint="eastAsia" w:ascii="宋体" w:hAnsi="宋体"/>
          <w:color w:val="auto"/>
        </w:rPr>
        <w:t>潇河起步区内根据用户用气需要，敷设焦炉煤气工业用户专线。</w:t>
      </w:r>
    </w:p>
    <w:p>
      <w:pPr>
        <w:pStyle w:val="42"/>
        <w:rPr>
          <w:rStyle w:val="52"/>
          <w:color w:val="auto"/>
        </w:rPr>
      </w:pPr>
      <w:r>
        <w:rPr>
          <w:rStyle w:val="52"/>
          <w:rFonts w:hint="eastAsia"/>
          <w:color w:val="auto"/>
        </w:rPr>
        <w:t>高压、次高压、中压燃气管道与建筑物、构筑物或相邻管道之间的水平净距离应满足《城镇燃气设计规范（GB50028）》、《输油管道工程设计规范（GB50253）》等规范的要求。</w:t>
      </w:r>
    </w:p>
    <w:p>
      <w:pPr>
        <w:pStyle w:val="4"/>
        <w:tabs>
          <w:tab w:val="left" w:pos="993"/>
          <w:tab w:val="clear" w:pos="1260"/>
        </w:tabs>
        <w:spacing w:before="312"/>
        <w:ind w:left="851" w:hanging="834"/>
      </w:pPr>
      <w:r>
        <w:rPr>
          <w:rFonts w:hint="eastAsia"/>
        </w:rPr>
        <w:t>供热工程</w:t>
      </w:r>
    </w:p>
    <w:p>
      <w:pPr>
        <w:pStyle w:val="131"/>
        <w:spacing w:before="156"/>
        <w:ind w:left="960"/>
        <w:rPr>
          <w:rFonts w:ascii="宋体" w:hAnsi="宋体"/>
        </w:rPr>
      </w:pPr>
      <w:r>
        <w:rPr>
          <w:rFonts w:hint="eastAsia" w:ascii="宋体" w:hAnsi="宋体"/>
        </w:rPr>
        <w:t>（1）热负荷预测</w:t>
      </w:r>
    </w:p>
    <w:p>
      <w:pPr>
        <w:spacing w:before="156"/>
        <w:rPr>
          <w:rFonts w:ascii="Times New Roman" w:hAnsi="Times New Roman"/>
        </w:rPr>
      </w:pPr>
      <w:r>
        <w:rPr>
          <w:rFonts w:hint="eastAsia" w:ascii="Times New Roman" w:hAnsi="Times New Roman"/>
        </w:rPr>
        <w:t>至规划期末，中心城区总供热面积约</w:t>
      </w:r>
      <w:r>
        <w:rPr>
          <w:rFonts w:ascii="Times New Roman" w:hAnsi="Times New Roman"/>
        </w:rPr>
        <w:t>740</w:t>
      </w:r>
      <w:r>
        <w:rPr>
          <w:rFonts w:hint="eastAsia" w:ascii="Times New Roman" w:hAnsi="Times New Roman"/>
        </w:rPr>
        <w:t>0万平方米，总供热负荷约5098MW。</w:t>
      </w:r>
    </w:p>
    <w:p>
      <w:pPr>
        <w:pStyle w:val="131"/>
        <w:spacing w:before="156"/>
        <w:ind w:left="960"/>
        <w:rPr>
          <w:rFonts w:ascii="Times New Roman" w:hAnsi="Times New Roman"/>
        </w:rPr>
      </w:pPr>
      <w:r>
        <w:rPr>
          <w:rFonts w:hint="eastAsia" w:ascii="Times New Roman" w:hAnsi="Times New Roman"/>
        </w:rPr>
        <w:t>（2）供热分区</w:t>
      </w:r>
    </w:p>
    <w:p>
      <w:pPr>
        <w:spacing w:before="156"/>
        <w:rPr>
          <w:rFonts w:ascii="Times New Roman" w:hAnsi="Times New Roman"/>
        </w:rPr>
      </w:pPr>
      <w:r>
        <w:rPr>
          <w:rFonts w:hint="eastAsia" w:ascii="Times New Roman" w:hAnsi="Times New Roman"/>
        </w:rPr>
        <w:t>中心城区划分为</w:t>
      </w:r>
      <w:r>
        <w:rPr>
          <w:rFonts w:ascii="Times New Roman" w:hAnsi="Times New Roman"/>
        </w:rPr>
        <w:t>8</w:t>
      </w:r>
      <w:r>
        <w:rPr>
          <w:rFonts w:hint="eastAsia" w:ascii="Times New Roman" w:hAnsi="Times New Roman"/>
        </w:rPr>
        <w:t>个供热分区，分别是城北供热分区、西北供热分区、科创城</w:t>
      </w:r>
      <w:r>
        <w:rPr>
          <w:rFonts w:ascii="Times New Roman" w:hAnsi="Times New Roman"/>
        </w:rPr>
        <w:t>供热分区、</w:t>
      </w:r>
      <w:r>
        <w:rPr>
          <w:rFonts w:hint="eastAsia" w:ascii="Times New Roman" w:hAnsi="Times New Roman"/>
        </w:rPr>
        <w:t>西南供热分区、城南供热分区、东南供热分区、</w:t>
      </w:r>
      <w:r>
        <w:rPr>
          <w:rFonts w:ascii="Times New Roman" w:hAnsi="Times New Roman"/>
        </w:rPr>
        <w:t>城东供热分区</w:t>
      </w:r>
      <w:r>
        <w:rPr>
          <w:rFonts w:hint="eastAsia" w:ascii="Times New Roman" w:hAnsi="Times New Roman"/>
        </w:rPr>
        <w:t>和起步区供热分区。</w:t>
      </w:r>
    </w:p>
    <w:p>
      <w:pPr>
        <w:pStyle w:val="131"/>
        <w:spacing w:before="156"/>
        <w:ind w:left="960"/>
        <w:rPr>
          <w:rFonts w:ascii="Times New Roman" w:hAnsi="Times New Roman"/>
        </w:rPr>
      </w:pPr>
      <w:r>
        <w:rPr>
          <w:rFonts w:hint="eastAsia" w:ascii="Times New Roman" w:hAnsi="Times New Roman"/>
        </w:rPr>
        <w:t>（3）热源规划</w:t>
      </w:r>
    </w:p>
    <w:p>
      <w:pPr>
        <w:spacing w:before="156"/>
        <w:rPr>
          <w:rFonts w:ascii="Times New Roman" w:hAnsi="Times New Roman"/>
        </w:rPr>
      </w:pPr>
      <w:r>
        <w:rPr>
          <w:rFonts w:hint="eastAsia" w:ascii="Times New Roman" w:hAnsi="Times New Roman"/>
        </w:rPr>
        <w:t>瑞光热电厂二期扩容，扩容后总供热能力为2094MW，其中，向晋中供热约630MW，供热面积约1300万平米。</w:t>
      </w:r>
    </w:p>
    <w:p>
      <w:pPr>
        <w:spacing w:before="156"/>
        <w:rPr>
          <w:rFonts w:ascii="Times New Roman" w:hAnsi="Times New Roman"/>
        </w:rPr>
      </w:pPr>
      <w:r>
        <w:rPr>
          <w:rFonts w:hint="eastAsia" w:ascii="Times New Roman" w:hAnsi="Times New Roman"/>
        </w:rPr>
        <w:t>国电榆次热电厂二期扩容，扩容后总供热能力不低于</w:t>
      </w:r>
      <w:r>
        <w:rPr>
          <w:rFonts w:ascii="Times New Roman" w:hAnsi="Times New Roman"/>
        </w:rPr>
        <w:t>4</w:t>
      </w:r>
      <w:r>
        <w:rPr>
          <w:rFonts w:hint="eastAsia" w:ascii="Times New Roman" w:hAnsi="Times New Roman"/>
        </w:rPr>
        <w:t>×330MW，供热面积不低于2100万平米。</w:t>
      </w:r>
    </w:p>
    <w:p>
      <w:pPr>
        <w:spacing w:before="156"/>
        <w:rPr>
          <w:rFonts w:ascii="Times New Roman" w:hAnsi="Times New Roman"/>
        </w:rPr>
      </w:pPr>
      <w:r>
        <w:rPr>
          <w:rFonts w:hint="eastAsia" w:ascii="Times New Roman" w:hAnsi="Times New Roman"/>
        </w:rPr>
        <w:t>规划将现状恒能榆次热电厂改建为西南清洁燃煤型热源厂，供热能力为</w:t>
      </w:r>
      <w:r>
        <w:rPr>
          <w:rFonts w:ascii="Times New Roman" w:hAnsi="Times New Roman"/>
        </w:rPr>
        <w:t>300</w:t>
      </w:r>
      <w:r>
        <w:rPr>
          <w:rFonts w:hint="eastAsia" w:ascii="Times New Roman" w:hAnsi="Times New Roman"/>
        </w:rPr>
        <w:t>MW，供热面积约</w:t>
      </w:r>
      <w:r>
        <w:rPr>
          <w:rFonts w:ascii="Times New Roman" w:hAnsi="Times New Roman"/>
        </w:rPr>
        <w:t>650</w:t>
      </w:r>
      <w:r>
        <w:rPr>
          <w:rFonts w:hint="eastAsia" w:ascii="Times New Roman" w:hAnsi="Times New Roman"/>
        </w:rPr>
        <w:t>万平米。</w:t>
      </w:r>
    </w:p>
    <w:p>
      <w:pPr>
        <w:spacing w:before="156"/>
        <w:rPr>
          <w:rFonts w:ascii="Times New Roman" w:hAnsi="Times New Roman"/>
        </w:rPr>
      </w:pPr>
      <w:r>
        <w:rPr>
          <w:rFonts w:hint="eastAsia" w:ascii="Times New Roman" w:hAnsi="Times New Roman"/>
        </w:rPr>
        <w:t>规划</w:t>
      </w:r>
      <w:r>
        <w:rPr>
          <w:rFonts w:ascii="Times New Roman" w:hAnsi="Times New Roman"/>
        </w:rPr>
        <w:t>新建秋村</w:t>
      </w:r>
      <w:r>
        <w:rPr>
          <w:rFonts w:hint="eastAsia" w:ascii="Times New Roman" w:hAnsi="Times New Roman"/>
        </w:rPr>
        <w:t>清洁燃煤型</w:t>
      </w:r>
      <w:r>
        <w:rPr>
          <w:rFonts w:ascii="Times New Roman" w:hAnsi="Times New Roman"/>
        </w:rPr>
        <w:t>热源厂，供热能力为</w:t>
      </w:r>
      <w:r>
        <w:rPr>
          <w:rFonts w:hint="eastAsia" w:ascii="Times New Roman" w:hAnsi="Times New Roman"/>
        </w:rPr>
        <w:t>520</w:t>
      </w:r>
      <w:r>
        <w:rPr>
          <w:rFonts w:ascii="Times New Roman" w:hAnsi="Times New Roman"/>
        </w:rPr>
        <w:t>MW，供热面积</w:t>
      </w:r>
      <w:r>
        <w:rPr>
          <w:rFonts w:hint="eastAsia" w:ascii="Times New Roman" w:hAnsi="Times New Roman"/>
        </w:rPr>
        <w:t>约1000万</w:t>
      </w:r>
      <w:r>
        <w:rPr>
          <w:rFonts w:ascii="Times New Roman" w:hAnsi="Times New Roman"/>
        </w:rPr>
        <w:t>平米。</w:t>
      </w:r>
    </w:p>
    <w:p>
      <w:pPr>
        <w:spacing w:before="156"/>
        <w:rPr>
          <w:rFonts w:ascii="Times New Roman" w:hAnsi="Times New Roman"/>
        </w:rPr>
      </w:pPr>
      <w:r>
        <w:rPr>
          <w:rFonts w:hint="eastAsia" w:ascii="Times New Roman" w:hAnsi="Times New Roman"/>
        </w:rPr>
        <w:t>规划</w:t>
      </w:r>
      <w:r>
        <w:rPr>
          <w:rFonts w:ascii="Times New Roman" w:hAnsi="Times New Roman"/>
        </w:rPr>
        <w:t>新建安宁街调峰清洁燃煤型热源厂，供热能力为</w:t>
      </w:r>
      <w:r>
        <w:rPr>
          <w:rFonts w:hint="eastAsia" w:ascii="Times New Roman" w:hAnsi="Times New Roman"/>
        </w:rPr>
        <w:t>696</w:t>
      </w:r>
      <w:r>
        <w:rPr>
          <w:rFonts w:ascii="Times New Roman" w:hAnsi="Times New Roman"/>
        </w:rPr>
        <w:t>MW，供热面积</w:t>
      </w:r>
      <w:r>
        <w:rPr>
          <w:rFonts w:hint="eastAsia" w:ascii="Times New Roman" w:hAnsi="Times New Roman"/>
        </w:rPr>
        <w:t>约1500万</w:t>
      </w:r>
      <w:r>
        <w:rPr>
          <w:rFonts w:ascii="Times New Roman" w:hAnsi="Times New Roman"/>
        </w:rPr>
        <w:t>平米。</w:t>
      </w:r>
    </w:p>
    <w:p>
      <w:pPr>
        <w:spacing w:before="156"/>
        <w:rPr>
          <w:rFonts w:ascii="Times New Roman" w:hAnsi="Times New Roman"/>
        </w:rPr>
      </w:pPr>
      <w:r>
        <w:rPr>
          <w:rFonts w:hint="eastAsia" w:ascii="Times New Roman" w:hAnsi="Times New Roman"/>
        </w:rPr>
        <w:t>规划</w:t>
      </w:r>
      <w:r>
        <w:rPr>
          <w:rFonts w:ascii="Times New Roman" w:hAnsi="Times New Roman"/>
        </w:rPr>
        <w:t>新建城东清洁燃煤型热源厂，供热能力</w:t>
      </w:r>
      <w:r>
        <w:rPr>
          <w:rFonts w:hint="eastAsia" w:ascii="Times New Roman" w:hAnsi="Times New Roman"/>
        </w:rPr>
        <w:t>520</w:t>
      </w:r>
      <w:r>
        <w:rPr>
          <w:rFonts w:ascii="Times New Roman" w:hAnsi="Times New Roman"/>
        </w:rPr>
        <w:t>MW，供热面积约</w:t>
      </w:r>
      <w:r>
        <w:rPr>
          <w:rFonts w:hint="eastAsia" w:ascii="Times New Roman" w:hAnsi="Times New Roman"/>
        </w:rPr>
        <w:t>1050万</w:t>
      </w:r>
      <w:r>
        <w:rPr>
          <w:rFonts w:ascii="Times New Roman" w:hAnsi="Times New Roman"/>
        </w:rPr>
        <w:t>平米。</w:t>
      </w:r>
    </w:p>
    <w:p>
      <w:pPr>
        <w:spacing w:before="156"/>
        <w:rPr>
          <w:rFonts w:ascii="Times New Roman" w:hAnsi="Times New Roman"/>
        </w:rPr>
      </w:pPr>
      <w:r>
        <w:rPr>
          <w:rFonts w:hint="eastAsia" w:ascii="Times New Roman" w:hAnsi="Times New Roman"/>
        </w:rPr>
        <w:t>东南供热分区内以天然气分散供热为主，不新建热源厂。</w:t>
      </w:r>
    </w:p>
    <w:p>
      <w:pPr>
        <w:pStyle w:val="131"/>
        <w:spacing w:before="156"/>
        <w:ind w:left="960"/>
        <w:rPr>
          <w:rFonts w:ascii="Times New Roman" w:hAnsi="Times New Roman"/>
        </w:rPr>
      </w:pPr>
      <w:r>
        <w:rPr>
          <w:rFonts w:hint="eastAsia" w:ascii="Times New Roman" w:hAnsi="Times New Roman"/>
        </w:rPr>
        <w:t>（4）管网规划</w:t>
      </w:r>
    </w:p>
    <w:p>
      <w:pPr>
        <w:spacing w:before="156"/>
        <w:rPr>
          <w:rFonts w:ascii="Times New Roman" w:hAnsi="Times New Roman"/>
        </w:rPr>
      </w:pPr>
      <w:bookmarkStart w:id="304" w:name="_Toc198001579"/>
      <w:r>
        <w:rPr>
          <w:rFonts w:hint="eastAsia" w:ascii="Times New Roman" w:hAnsi="Times New Roman"/>
        </w:rPr>
        <w:t>城北供热分区、</w:t>
      </w:r>
      <w:bookmarkEnd w:id="304"/>
      <w:r>
        <w:rPr>
          <w:rFonts w:hint="eastAsia" w:ascii="Times New Roman" w:hAnsi="Times New Roman"/>
        </w:rPr>
        <w:t>城中供热分区、西南供热分区、西北供热分区、起步区供热分区采用高温循环水间接供热方式，管网供回水温度为135摄氏度～80摄氏度。供热管网的主干线敷设在热负荷较集中的城市道路下。</w:t>
      </w:r>
    </w:p>
    <w:p>
      <w:pPr>
        <w:spacing w:before="156"/>
        <w:rPr>
          <w:rFonts w:ascii="Times New Roman" w:hAnsi="Times New Roman"/>
        </w:rPr>
      </w:pPr>
      <w:r>
        <w:rPr>
          <w:rFonts w:hint="eastAsia" w:ascii="Times New Roman" w:hAnsi="Times New Roman"/>
        </w:rPr>
        <w:t>东南供热分区建筑采用燃气分户供暖形式，不敷设集中供热管道。</w:t>
      </w:r>
    </w:p>
    <w:p>
      <w:pPr>
        <w:pStyle w:val="4"/>
        <w:tabs>
          <w:tab w:val="left" w:pos="993"/>
          <w:tab w:val="clear" w:pos="1260"/>
        </w:tabs>
        <w:spacing w:before="312"/>
        <w:ind w:left="851" w:hanging="834"/>
        <w:rPr>
          <w:rFonts w:ascii="Times New Roman" w:hAnsi="Times New Roman"/>
        </w:rPr>
      </w:pPr>
      <w:r>
        <w:rPr>
          <w:rFonts w:hint="eastAsia" w:ascii="Times New Roman" w:hAnsi="Times New Roman"/>
        </w:rPr>
        <w:t>环卫工程</w:t>
      </w:r>
    </w:p>
    <w:p>
      <w:pPr>
        <w:pStyle w:val="131"/>
        <w:spacing w:before="156"/>
        <w:ind w:left="960"/>
        <w:rPr>
          <w:rFonts w:ascii="Times New Roman" w:hAnsi="Times New Roman"/>
        </w:rPr>
      </w:pPr>
      <w:r>
        <w:rPr>
          <w:rFonts w:hint="eastAsia" w:ascii="Times New Roman" w:hAnsi="Times New Roman"/>
        </w:rPr>
        <w:t>（1）垃圾量预测</w:t>
      </w:r>
    </w:p>
    <w:p>
      <w:pPr>
        <w:spacing w:before="156"/>
        <w:rPr>
          <w:rFonts w:ascii="Times New Roman" w:hAnsi="Times New Roman"/>
        </w:rPr>
      </w:pPr>
      <w:r>
        <w:rPr>
          <w:rFonts w:hint="eastAsia" w:ascii="Times New Roman" w:hAnsi="Times New Roman"/>
        </w:rPr>
        <w:t>采用人均指标法进行预测，到2030年中心城区人口132万人，人均垃圾产生量1.1千克/日，则垃圾产生总量为1452吨/日。</w:t>
      </w:r>
    </w:p>
    <w:p>
      <w:pPr>
        <w:pStyle w:val="131"/>
        <w:spacing w:before="156"/>
        <w:ind w:left="960"/>
        <w:rPr>
          <w:rFonts w:ascii="Times New Roman" w:hAnsi="Times New Roman"/>
        </w:rPr>
      </w:pPr>
      <w:r>
        <w:rPr>
          <w:rFonts w:hint="eastAsia" w:ascii="Times New Roman" w:hAnsi="Times New Roman"/>
        </w:rPr>
        <w:t>（2）环卫设施规划</w:t>
      </w:r>
    </w:p>
    <w:p>
      <w:pPr>
        <w:spacing w:before="156"/>
        <w:rPr>
          <w:rFonts w:ascii="Times New Roman" w:hAnsi="Times New Roman"/>
        </w:rPr>
      </w:pPr>
      <w:r>
        <w:rPr>
          <w:rFonts w:ascii="Times New Roman" w:hAnsi="Times New Roman"/>
        </w:rPr>
        <w:t>规划原址建设杨梁垃圾综合处理场，包括：扩建现状杨梁村生活垃圾填埋场，处理规模达到1</w:t>
      </w:r>
      <w:r>
        <w:rPr>
          <w:rFonts w:hint="eastAsia" w:ascii="Times New Roman" w:hAnsi="Times New Roman"/>
        </w:rPr>
        <w:t>500</w:t>
      </w:r>
      <w:r>
        <w:rPr>
          <w:rFonts w:ascii="Times New Roman" w:hAnsi="Times New Roman"/>
        </w:rPr>
        <w:t>吨/日，处理方式以卫生填埋为主，焚烧处理为辅；改建杨梁医疗废物处理场，处理规模为5吨/日；新建杨梁建筑垃圾处理场一座，占地面积5000平方米。</w:t>
      </w:r>
    </w:p>
    <w:p>
      <w:pPr>
        <w:spacing w:before="156"/>
        <w:rPr>
          <w:rFonts w:ascii="Times New Roman" w:hAnsi="Times New Roman"/>
        </w:rPr>
      </w:pPr>
      <w:r>
        <w:rPr>
          <w:rFonts w:hint="eastAsia" w:ascii="Times New Roman" w:hAnsi="Times New Roman"/>
        </w:rPr>
        <w:t>中心城区</w:t>
      </w:r>
      <w:r>
        <w:rPr>
          <w:rFonts w:ascii="Times New Roman" w:hAnsi="Times New Roman"/>
        </w:rPr>
        <w:t>考虑转运站服务半径为</w:t>
      </w:r>
      <w:r>
        <w:rPr>
          <w:rFonts w:hint="eastAsia" w:ascii="Times New Roman" w:hAnsi="Times New Roman"/>
        </w:rPr>
        <w:t>2千米</w:t>
      </w:r>
      <w:r>
        <w:rPr>
          <w:rFonts w:ascii="Times New Roman" w:hAnsi="Times New Roman"/>
        </w:rPr>
        <w:t>，规划日转运量</w:t>
      </w:r>
      <w:r>
        <w:rPr>
          <w:rFonts w:hint="eastAsia" w:ascii="Times New Roman" w:hAnsi="Times New Roman"/>
        </w:rPr>
        <w:t>不大于</w:t>
      </w:r>
      <w:r>
        <w:rPr>
          <w:rFonts w:ascii="Times New Roman" w:hAnsi="Times New Roman"/>
        </w:rPr>
        <w:t>150</w:t>
      </w:r>
      <w:r>
        <w:rPr>
          <w:rFonts w:hint="eastAsia" w:ascii="Times New Roman" w:hAnsi="Times New Roman"/>
        </w:rPr>
        <w:t>吨，规划建设10座垃圾转运站，每座预留用地0.1万平方米，并在详细规划中落实</w:t>
      </w:r>
      <w:r>
        <w:rPr>
          <w:rFonts w:ascii="Times New Roman" w:hAnsi="Times New Roman"/>
        </w:rPr>
        <w:t>。</w:t>
      </w:r>
      <w:r>
        <w:rPr>
          <w:rFonts w:hint="eastAsia" w:ascii="Times New Roman" w:hAnsi="Times New Roman"/>
        </w:rPr>
        <w:t>潇河起步区</w:t>
      </w:r>
      <w:r>
        <w:rPr>
          <w:rFonts w:hint="eastAsia"/>
          <w:lang w:val="en-US" w:eastAsia="zh-CN"/>
        </w:rPr>
        <w:t>规划三座垃圾转运站</w:t>
      </w:r>
      <w:r>
        <w:rPr>
          <w:rFonts w:ascii="Times New Roman" w:hAnsi="Times New Roman"/>
        </w:rPr>
        <w:t>。</w:t>
      </w:r>
    </w:p>
    <w:p>
      <w:pPr>
        <w:spacing w:before="156"/>
        <w:rPr>
          <w:rFonts w:ascii="Times New Roman" w:hAnsi="Times New Roman"/>
        </w:rPr>
      </w:pPr>
      <w:r>
        <w:rPr>
          <w:rFonts w:ascii="Times New Roman" w:hAnsi="Times New Roman"/>
        </w:rPr>
        <w:t>规划基层环境卫生机构</w:t>
      </w:r>
      <w:r>
        <w:rPr>
          <w:rFonts w:hint="eastAsia" w:ascii="Times New Roman" w:hAnsi="Times New Roman"/>
        </w:rPr>
        <w:t>27</w:t>
      </w:r>
      <w:r>
        <w:rPr>
          <w:rFonts w:ascii="Times New Roman" w:hAnsi="Times New Roman"/>
        </w:rPr>
        <w:t>处。规划建设</w:t>
      </w:r>
      <w:r>
        <w:rPr>
          <w:rFonts w:hint="eastAsia" w:ascii="Times New Roman" w:hAnsi="Times New Roman"/>
        </w:rPr>
        <w:t>112</w:t>
      </w:r>
      <w:r>
        <w:rPr>
          <w:rFonts w:ascii="Times New Roman" w:hAnsi="Times New Roman"/>
        </w:rPr>
        <w:t>处环卫工人作息</w:t>
      </w:r>
      <w:r>
        <w:rPr>
          <w:rFonts w:hint="eastAsia" w:ascii="Times New Roman" w:hAnsi="Times New Roman"/>
        </w:rPr>
        <w:t>场</w:t>
      </w:r>
      <w:r>
        <w:rPr>
          <w:rFonts w:ascii="Times New Roman" w:hAnsi="Times New Roman"/>
        </w:rPr>
        <w:t>所，部分可与环卫车辆停放场合建。</w:t>
      </w:r>
    </w:p>
    <w:p>
      <w:pPr>
        <w:spacing w:before="156"/>
        <w:rPr>
          <w:rFonts w:ascii="Times New Roman" w:hAnsi="Times New Roman"/>
        </w:rPr>
      </w:pPr>
      <w:r>
        <w:rPr>
          <w:rFonts w:ascii="Times New Roman" w:hAnsi="Times New Roman"/>
        </w:rPr>
        <w:t>环卫车辆按2.5辆/万人计算，中心城区共需环卫车辆</w:t>
      </w:r>
      <w:r>
        <w:rPr>
          <w:rFonts w:hint="eastAsia" w:ascii="Times New Roman" w:hAnsi="Times New Roman"/>
        </w:rPr>
        <w:t>330</w:t>
      </w:r>
      <w:r>
        <w:rPr>
          <w:rFonts w:ascii="Times New Roman" w:hAnsi="Times New Roman"/>
        </w:rPr>
        <w:t>辆。环卫车辆停车用地与转运站用地统筹考虑。规划环卫车辆停车场</w:t>
      </w:r>
      <w:r>
        <w:rPr>
          <w:rFonts w:hint="eastAsia" w:ascii="Times New Roman" w:hAnsi="Times New Roman"/>
        </w:rPr>
        <w:t>8</w:t>
      </w:r>
      <w:r>
        <w:rPr>
          <w:rFonts w:ascii="Times New Roman" w:hAnsi="Times New Roman"/>
        </w:rPr>
        <w:t>座（其中主城区</w:t>
      </w:r>
      <w:r>
        <w:rPr>
          <w:rFonts w:hint="eastAsia" w:ascii="Times New Roman" w:hAnsi="Times New Roman"/>
        </w:rPr>
        <w:t>7</w:t>
      </w:r>
      <w:r>
        <w:rPr>
          <w:rFonts w:ascii="Times New Roman" w:hAnsi="Times New Roman"/>
        </w:rPr>
        <w:t>座，</w:t>
      </w:r>
      <w:r>
        <w:rPr>
          <w:rFonts w:hint="eastAsia" w:ascii="Times New Roman" w:hAnsi="Times New Roman"/>
        </w:rPr>
        <w:t>潇河起步区</w:t>
      </w:r>
      <w:r>
        <w:rPr>
          <w:rFonts w:ascii="Times New Roman" w:hAnsi="Times New Roman"/>
        </w:rPr>
        <w:t>1座），每座按照0.5万平方米预留。</w:t>
      </w:r>
    </w:p>
    <w:p>
      <w:pPr>
        <w:spacing w:before="156"/>
        <w:rPr>
          <w:rFonts w:ascii="Times New Roman" w:hAnsi="Times New Roman"/>
        </w:rPr>
      </w:pPr>
      <w:r>
        <w:rPr>
          <w:rFonts w:ascii="Times New Roman" w:hAnsi="Times New Roman"/>
        </w:rPr>
        <w:t>公共厕所应按照《城镇环境卫生设施设置标准》（CJJ 27-2005）标准配置。</w:t>
      </w:r>
    </w:p>
    <w:p>
      <w:pPr>
        <w:spacing w:before="156"/>
        <w:rPr>
          <w:rFonts w:ascii="宋体" w:hAnsi="宋体"/>
        </w:rPr>
      </w:pPr>
    </w:p>
    <w:p>
      <w:pPr>
        <w:pStyle w:val="3"/>
        <w:spacing w:before="156" w:after="156"/>
      </w:pPr>
      <w:bookmarkStart w:id="305" w:name="_Toc492850128"/>
      <w:r>
        <w:rPr>
          <w:rStyle w:val="52"/>
          <w:rFonts w:hint="eastAsia"/>
          <w:color w:val="auto"/>
          <w:u w:val="none"/>
        </w:rPr>
        <w:t>第十三节 中心城区环境保护</w:t>
      </w:r>
      <w:r>
        <w:rPr>
          <w:rFonts w:hint="eastAsia"/>
        </w:rPr>
        <w:t>规划</w:t>
      </w:r>
      <w:bookmarkEnd w:id="305"/>
    </w:p>
    <w:p>
      <w:pPr>
        <w:pStyle w:val="4"/>
        <w:tabs>
          <w:tab w:val="left" w:pos="993"/>
          <w:tab w:val="clear" w:pos="1260"/>
        </w:tabs>
        <w:spacing w:before="312"/>
        <w:ind w:left="851" w:hanging="834"/>
      </w:pPr>
      <w:r>
        <w:rPr>
          <w:rFonts w:hint="eastAsia"/>
        </w:rPr>
        <w:t>总体目标</w:t>
      </w:r>
    </w:p>
    <w:p>
      <w:pPr>
        <w:pStyle w:val="42"/>
        <w:rPr>
          <w:rStyle w:val="52"/>
          <w:color w:val="auto"/>
        </w:rPr>
      </w:pPr>
      <w:r>
        <w:rPr>
          <w:rStyle w:val="52"/>
          <w:rFonts w:hint="eastAsia"/>
          <w:color w:val="auto"/>
        </w:rPr>
        <w:t>中心城区大气环境质量达到二级标准要求，环境空气质量二级以上优良天数达到98%以上。集中式饮用水源水质达标率达到100%，城市污水处理率达到95%以上，工业废水达标排放率达到100%。城市环境噪声和交通噪声达到《声环境质量标准》（GB3096）要求。危险废物无害化处置率达到100%，生活垃圾无害化处理率力争达到100%。</w:t>
      </w:r>
    </w:p>
    <w:p>
      <w:pPr>
        <w:pStyle w:val="4"/>
        <w:tabs>
          <w:tab w:val="left" w:pos="993"/>
          <w:tab w:val="clear" w:pos="1260"/>
        </w:tabs>
        <w:spacing w:before="312"/>
        <w:ind w:left="851" w:hanging="834"/>
      </w:pPr>
      <w:r>
        <w:rPr>
          <w:rFonts w:hint="eastAsia"/>
        </w:rPr>
        <w:t>环境功能区划及建设标准</w:t>
      </w:r>
    </w:p>
    <w:p>
      <w:pPr>
        <w:spacing w:before="156"/>
        <w:rPr>
          <w:rFonts w:ascii="宋体" w:hAnsi="宋体"/>
        </w:rPr>
      </w:pPr>
      <w:r>
        <w:rPr>
          <w:rFonts w:hint="eastAsia" w:ascii="宋体" w:hAnsi="宋体"/>
        </w:rPr>
        <w:t>大气环境：中心城区为二类环境空气质量功能区，执行《环境空气质量标准》</w:t>
      </w:r>
      <w:r>
        <w:rPr>
          <w:rFonts w:hint="default" w:ascii="Times New Roman" w:hAnsi="Times New Roman" w:cs="Times New Roman"/>
        </w:rPr>
        <w:t>（GB3095-2012）</w:t>
      </w:r>
      <w:r>
        <w:rPr>
          <w:rFonts w:hint="eastAsia" w:ascii="宋体" w:hAnsi="宋体"/>
        </w:rPr>
        <w:t>中二级标准。</w:t>
      </w:r>
    </w:p>
    <w:p>
      <w:pPr>
        <w:spacing w:before="156"/>
        <w:rPr>
          <w:rFonts w:ascii="宋体" w:hAnsi="宋体"/>
        </w:rPr>
      </w:pPr>
      <w:r>
        <w:rPr>
          <w:rFonts w:hint="eastAsia" w:ascii="宋体" w:hAnsi="宋体"/>
        </w:rPr>
        <w:t>水环境：潇河上游段主导功能为城市景观水体，执行</w:t>
      </w:r>
      <w:r>
        <w:rPr>
          <w:rFonts w:hint="default" w:ascii="Times New Roman" w:hAnsi="Times New Roman" w:cs="Times New Roman"/>
        </w:rPr>
        <w:t>IV</w:t>
      </w:r>
      <w:r>
        <w:rPr>
          <w:rFonts w:hint="eastAsia" w:ascii="宋体" w:hAnsi="宋体"/>
        </w:rPr>
        <w:t>类水质标准，</w:t>
      </w:r>
      <w:r>
        <w:rPr>
          <w:rFonts w:hint="default" w:ascii="Times New Roman" w:hAnsi="Times New Roman" w:cs="Times New Roman"/>
        </w:rPr>
        <w:t>2030</w:t>
      </w:r>
      <w:r>
        <w:rPr>
          <w:rFonts w:hint="eastAsia" w:ascii="宋体" w:hAnsi="宋体"/>
        </w:rPr>
        <w:t>年力争达到</w:t>
      </w:r>
      <w:r>
        <w:rPr>
          <w:rFonts w:hint="default" w:ascii="Times New Roman" w:hAnsi="Times New Roman" w:cs="Times New Roman"/>
        </w:rPr>
        <w:t>III</w:t>
      </w:r>
      <w:r>
        <w:rPr>
          <w:rFonts w:hint="eastAsia" w:ascii="宋体" w:hAnsi="宋体"/>
        </w:rPr>
        <w:t>类水质。潇河下游段、南干渠主导功能为农业用水，执行</w:t>
      </w:r>
      <w:r>
        <w:rPr>
          <w:rFonts w:hint="default" w:ascii="Times New Roman" w:hAnsi="Times New Roman" w:cs="Times New Roman"/>
        </w:rPr>
        <w:t>IV</w:t>
      </w:r>
      <w:r>
        <w:rPr>
          <w:rFonts w:hint="eastAsia" w:ascii="宋体" w:hAnsi="宋体"/>
        </w:rPr>
        <w:t>类水质标准。</w:t>
      </w:r>
    </w:p>
    <w:p>
      <w:pPr>
        <w:spacing w:before="156"/>
        <w:rPr>
          <w:rFonts w:ascii="宋体" w:hAnsi="宋体"/>
        </w:rPr>
      </w:pPr>
      <w:r>
        <w:rPr>
          <w:rFonts w:hint="eastAsia" w:ascii="宋体" w:hAnsi="宋体"/>
        </w:rPr>
        <w:t>噪声环境：居民住宅、医疗卫生、文化教育、科研设计、行政办公为主要功能的区域为</w:t>
      </w:r>
      <w:r>
        <w:rPr>
          <w:rFonts w:hint="default" w:ascii="Times New Roman" w:hAnsi="Times New Roman" w:cs="Times New Roman"/>
        </w:rPr>
        <w:t>1</w:t>
      </w:r>
      <w:r>
        <w:rPr>
          <w:rFonts w:hint="eastAsia" w:ascii="宋体" w:hAnsi="宋体"/>
        </w:rPr>
        <w:t>类标准适用区域；以商业金融、集市贸易为主要功能，或者居住、商业、工业混杂的区域为</w:t>
      </w:r>
      <w:r>
        <w:rPr>
          <w:rFonts w:hint="default" w:ascii="Times New Roman" w:hAnsi="Times New Roman" w:cs="Times New Roman"/>
        </w:rPr>
        <w:t>2</w:t>
      </w:r>
      <w:r>
        <w:rPr>
          <w:rFonts w:hint="eastAsia" w:ascii="宋体" w:hAnsi="宋体"/>
        </w:rPr>
        <w:t>类标准适用区域；以工业生产、仓储物流为主要功能的区域为</w:t>
      </w:r>
      <w:r>
        <w:rPr>
          <w:rFonts w:hint="default" w:ascii="Times New Roman" w:hAnsi="Times New Roman" w:cs="Times New Roman"/>
        </w:rPr>
        <w:t>3</w:t>
      </w:r>
      <w:r>
        <w:rPr>
          <w:rFonts w:hint="eastAsia" w:ascii="宋体" w:hAnsi="宋体"/>
        </w:rPr>
        <w:t>类标准适用区。</w:t>
      </w:r>
    </w:p>
    <w:p>
      <w:pPr>
        <w:pStyle w:val="4"/>
        <w:tabs>
          <w:tab w:val="left" w:pos="993"/>
          <w:tab w:val="clear" w:pos="1260"/>
        </w:tabs>
        <w:spacing w:before="312"/>
        <w:ind w:left="851" w:hanging="834"/>
      </w:pPr>
      <w:r>
        <w:rPr>
          <w:rFonts w:hint="eastAsia"/>
        </w:rPr>
        <w:t>环境保护措施</w:t>
      </w:r>
    </w:p>
    <w:p>
      <w:pPr>
        <w:spacing w:before="156"/>
        <w:rPr>
          <w:rFonts w:ascii="宋体" w:hAnsi="宋体"/>
        </w:rPr>
      </w:pPr>
      <w:r>
        <w:rPr>
          <w:rFonts w:hint="eastAsia" w:ascii="宋体" w:hAnsi="宋体"/>
        </w:rPr>
        <w:t>大气环境：完善城市集中供热、供气等基础设施建设。规划</w:t>
      </w:r>
      <w:r>
        <w:rPr>
          <w:rFonts w:hint="default" w:ascii="Times New Roman" w:hAnsi="Times New Roman" w:cs="Times New Roman"/>
        </w:rPr>
        <w:t>2030</w:t>
      </w:r>
      <w:r>
        <w:rPr>
          <w:rFonts w:hint="eastAsia" w:ascii="宋体" w:hAnsi="宋体"/>
        </w:rPr>
        <w:t>年晋中市集中供热普及率达到</w:t>
      </w:r>
      <w:r>
        <w:rPr>
          <w:rFonts w:hint="default" w:ascii="Times New Roman" w:hAnsi="Times New Roman" w:cs="Times New Roman"/>
        </w:rPr>
        <w:t>95%</w:t>
      </w:r>
      <w:r>
        <w:rPr>
          <w:rFonts w:hint="eastAsia" w:ascii="宋体" w:hAnsi="宋体"/>
        </w:rPr>
        <w:t>以上，逐步淘汰设备陈旧、使用年限长、效率低、煤耗高、污染重的分散供热锅炉。控制城市扬尘污染。工业企业、储煤场、煤炭运销站煤场必须建设喷淋、挡风抑尘设施，最大限度降低煤尘污染。加强城市大环境绿化和绿化隔离带建设，大力推进城郊绿化，减少自然沙尘对市区大气环境质量的影响。</w:t>
      </w:r>
    </w:p>
    <w:p>
      <w:pPr>
        <w:spacing w:before="156"/>
        <w:rPr>
          <w:rFonts w:ascii="宋体" w:hAnsi="宋体"/>
        </w:rPr>
      </w:pPr>
      <w:r>
        <w:rPr>
          <w:rFonts w:hint="eastAsia" w:ascii="宋体" w:hAnsi="宋体"/>
        </w:rPr>
        <w:t>水环境：加强对中心城区西窑、北山集中式饮用水水源地的保护和水质监管。在划定的水源保护区范围内，要按照水源地保护区划要求，严格控制各类污染源，不得修建渗水厕所、渗水坑、堆放废渣或铺设污水渠道，并不得从事破坏深层土层的活动。</w:t>
      </w:r>
      <w:r>
        <w:rPr>
          <w:rFonts w:hint="default" w:ascii="Times New Roman" w:hAnsi="Times New Roman" w:cs="Times New Roman"/>
        </w:rPr>
        <w:t>2030</w:t>
      </w:r>
      <w:r>
        <w:rPr>
          <w:rFonts w:hint="eastAsia" w:ascii="宋体" w:hAnsi="宋体"/>
        </w:rPr>
        <w:t>年晋中市城市污水处理率达到95%以上，并部分实现污水再生利用。工业废水经处理后达到《污水综合排放标准》及地方排放标准的相应规定限值及地方总量控制的要求后可排入城镇污水处理厂。</w:t>
      </w:r>
    </w:p>
    <w:p>
      <w:pPr>
        <w:spacing w:before="156"/>
        <w:rPr>
          <w:rFonts w:ascii="宋体" w:hAnsi="宋体"/>
        </w:rPr>
      </w:pPr>
      <w:r>
        <w:rPr>
          <w:rFonts w:hint="eastAsia" w:ascii="宋体" w:hAnsi="宋体"/>
        </w:rPr>
        <w:t>噪声环境：严格按照城市环境噪声功能区要求，管理各类企业厂界环境噪声，城市建成区内的各类企业厂界噪声全部达标。加强绿化建设，在工业区与居住区之间保留必要的防护绿地。推广低噪施工设备，对环境影响较大的噪声源实施消声、隔声和吸声等措施进行治理；禁止在噪声敏感区域内采用能够产生高噪声的施工方式。</w:t>
      </w:r>
      <w:r>
        <w:rPr>
          <w:rFonts w:ascii="宋体" w:hAnsi="宋体"/>
        </w:rPr>
        <w:t>合理规划道路和敏感建筑物集中区之间的防护距离。将交通噪声影响评估纳入建设项目规划方案</w:t>
      </w:r>
      <w:r>
        <w:rPr>
          <w:rFonts w:hint="eastAsia" w:ascii="宋体" w:hAnsi="宋体"/>
        </w:rPr>
        <w:t>。</w:t>
      </w:r>
    </w:p>
    <w:p>
      <w:pPr>
        <w:pStyle w:val="3"/>
        <w:spacing w:before="156" w:after="156"/>
        <w:rPr>
          <w:rFonts w:ascii="Arial" w:hAnsi="Arial"/>
          <w:sz w:val="24"/>
        </w:rPr>
      </w:pPr>
      <w:bookmarkStart w:id="306" w:name="_Toc492850129"/>
      <w:r>
        <w:rPr>
          <w:rFonts w:hint="eastAsia" w:ascii="Arial" w:hAnsi="Arial"/>
        </w:rPr>
        <w:t>第十四节中心城区综合防灾规划</w:t>
      </w:r>
      <w:bookmarkEnd w:id="306"/>
    </w:p>
    <w:p>
      <w:pPr>
        <w:pStyle w:val="4"/>
        <w:tabs>
          <w:tab w:val="left" w:pos="993"/>
          <w:tab w:val="clear" w:pos="1260"/>
        </w:tabs>
        <w:spacing w:before="312"/>
        <w:ind w:left="851" w:hanging="834"/>
      </w:pPr>
      <w:r>
        <w:rPr>
          <w:rFonts w:hint="eastAsia"/>
        </w:rPr>
        <w:t>防洪工程</w:t>
      </w:r>
    </w:p>
    <w:p>
      <w:pPr>
        <w:spacing w:before="156"/>
        <w:rPr>
          <w:rFonts w:ascii="宋体" w:hAnsi="宋体"/>
        </w:rPr>
      </w:pPr>
      <w:r>
        <w:rPr>
          <w:rFonts w:hint="eastAsia" w:ascii="宋体" w:hAnsi="宋体"/>
        </w:rPr>
        <w:t>贯彻“全面规划、综合治理、防治结合、以防为主”的方针，加强防洪工程措施、非工程措施以及水土保持措施的实施，建立完善的防洪体系。</w:t>
      </w:r>
    </w:p>
    <w:p>
      <w:pPr>
        <w:pStyle w:val="42"/>
        <w:rPr>
          <w:rStyle w:val="52"/>
          <w:color w:val="auto"/>
        </w:rPr>
      </w:pPr>
      <w:r>
        <w:rPr>
          <w:rStyle w:val="52"/>
          <w:color w:val="auto"/>
        </w:rPr>
        <w:t>潇河、涧河</w:t>
      </w:r>
      <w:r>
        <w:rPr>
          <w:rStyle w:val="52"/>
          <w:rFonts w:hint="eastAsia"/>
          <w:color w:val="auto"/>
        </w:rPr>
        <w:t>城区段</w:t>
      </w:r>
      <w:r>
        <w:rPr>
          <w:rStyle w:val="52"/>
          <w:color w:val="auto"/>
        </w:rPr>
        <w:t>防洪标准为</w:t>
      </w:r>
      <w:r>
        <w:rPr>
          <w:rStyle w:val="52"/>
          <w:rFonts w:hint="eastAsia"/>
          <w:color w:val="auto"/>
        </w:rPr>
        <w:t>100</w:t>
      </w:r>
      <w:r>
        <w:rPr>
          <w:rStyle w:val="52"/>
          <w:color w:val="auto"/>
        </w:rPr>
        <w:t>年一遇，其它地区防洪标准为50年一遇。截洪沟和冲沟防洪标准为</w:t>
      </w:r>
      <w:r>
        <w:rPr>
          <w:rStyle w:val="52"/>
          <w:rFonts w:hint="eastAsia"/>
          <w:color w:val="auto"/>
        </w:rPr>
        <w:t>50</w:t>
      </w:r>
      <w:r>
        <w:rPr>
          <w:rStyle w:val="52"/>
          <w:color w:val="auto"/>
        </w:rPr>
        <w:t>年一遇。</w:t>
      </w:r>
    </w:p>
    <w:p>
      <w:pPr>
        <w:spacing w:before="156"/>
        <w:rPr>
          <w:rFonts w:ascii="宋体" w:hAnsi="宋体"/>
        </w:rPr>
      </w:pPr>
      <w:r>
        <w:rPr>
          <w:rFonts w:hint="eastAsia" w:ascii="宋体" w:hAnsi="宋体"/>
        </w:rPr>
        <w:t>规划沿太旧高速北侧新建北部山区截洪沟，主要拦截上游黑河、涧河以及河口沟、西沙沟的洪水，经防洪缓冲池后进入太榆东退水渠；规划北起太旧高速南部北胡村，南接潇河支沟，新建东部山区截洪沟，主要拦截东部山区北胡沟、吊桥沟、掉头沟等排洪沟的洪水，洪水经潇河支沟排至潇河河道内；城区排水自北向南、自东向西，最终排入城西的太榆东退水渠排入榆太总退水渠，并对榆太退水渠进行拓宽改造，增加雨洪水排放能力。</w:t>
      </w:r>
    </w:p>
    <w:p>
      <w:pPr>
        <w:spacing w:before="156"/>
        <w:rPr>
          <w:rFonts w:ascii="宋体" w:hAnsi="宋体"/>
        </w:rPr>
      </w:pPr>
      <w:r>
        <w:rPr>
          <w:rFonts w:hint="eastAsia" w:ascii="宋体" w:hAnsi="宋体"/>
        </w:rPr>
        <w:t>加快和完善防汛指挥决策支持系统的建设，充分发挥水利工程防洪减灾作用，增强在抗洪抢险救灾中的快速反应能力，制定和完善防洪减灾预案。</w:t>
      </w:r>
    </w:p>
    <w:p>
      <w:pPr>
        <w:pStyle w:val="4"/>
        <w:tabs>
          <w:tab w:val="left" w:pos="993"/>
          <w:tab w:val="clear" w:pos="1260"/>
        </w:tabs>
        <w:spacing w:before="312"/>
        <w:ind w:left="851" w:hanging="834"/>
      </w:pPr>
      <w:r>
        <w:rPr>
          <w:rFonts w:hint="eastAsia"/>
        </w:rPr>
        <w:t>抗震</w:t>
      </w:r>
      <w:r>
        <w:rPr>
          <w:rFonts w:hint="eastAsia" w:ascii="Arial" w:hAnsi="Arial"/>
        </w:rPr>
        <w:t>减灾</w:t>
      </w:r>
    </w:p>
    <w:p>
      <w:pPr>
        <w:pStyle w:val="42"/>
        <w:rPr>
          <w:rStyle w:val="52"/>
          <w:color w:val="auto"/>
        </w:rPr>
      </w:pPr>
      <w:r>
        <w:rPr>
          <w:rStyle w:val="52"/>
          <w:rFonts w:hint="eastAsia"/>
          <w:color w:val="auto"/>
        </w:rPr>
        <w:t>设防标准：中心城区地震基本烈度为VIII度，基本地震动峰值加速度值为0.20g。学校、</w:t>
      </w:r>
      <w:r>
        <w:rPr>
          <w:rStyle w:val="52"/>
          <w:color w:val="auto"/>
        </w:rPr>
        <w:t>医院和其他人员密集场所</w:t>
      </w:r>
      <w:r>
        <w:rPr>
          <w:rStyle w:val="52"/>
          <w:rFonts w:hint="eastAsia"/>
          <w:color w:val="auto"/>
        </w:rPr>
        <w:t>各项生命线工程应提高一度设防。</w:t>
      </w:r>
    </w:p>
    <w:p>
      <w:pPr>
        <w:spacing w:before="156"/>
        <w:rPr>
          <w:rFonts w:ascii="宋体" w:hAnsi="宋体"/>
          <w:b/>
          <w:u w:val="single"/>
        </w:rPr>
      </w:pPr>
      <w:r>
        <w:rPr>
          <w:rFonts w:hint="eastAsia" w:ascii="宋体" w:hAnsi="宋体"/>
          <w:b/>
          <w:u w:val="single"/>
        </w:rPr>
        <w:t>避震疏散场所：规划将潇河郊野公园、思凤街南侧绿地、凤翔街北侧绿地等城市公园绿地以及体育场馆、大学城内各高校体育场馆及部分中小学场馆作为固定避难场所用地。并按《地震应急避难场所场址及配套设施》要求配置相应设施</w:t>
      </w:r>
      <w:r>
        <w:rPr>
          <w:rFonts w:ascii="宋体" w:hAnsi="宋体"/>
          <w:b/>
          <w:u w:val="single"/>
        </w:rPr>
        <w:t>。</w:t>
      </w:r>
    </w:p>
    <w:p>
      <w:pPr>
        <w:spacing w:before="156"/>
        <w:rPr>
          <w:rFonts w:ascii="宋体" w:hAnsi="宋体"/>
          <w:b/>
          <w:u w:val="single"/>
        </w:rPr>
      </w:pPr>
      <w:r>
        <w:rPr>
          <w:rFonts w:hint="eastAsia" w:ascii="宋体" w:hAnsi="宋体"/>
          <w:b/>
          <w:u w:val="single"/>
        </w:rPr>
        <w:t>避震疏散通道：规划将文华街、龙湖街、迎宾街、环城东路、新建路、园区路等城市主干道路作为避震疏散通道。</w:t>
      </w:r>
    </w:p>
    <w:p>
      <w:pPr>
        <w:spacing w:before="156"/>
        <w:rPr>
          <w:rFonts w:ascii="宋体" w:hAnsi="宋体"/>
        </w:rPr>
      </w:pPr>
      <w:r>
        <w:rPr>
          <w:rFonts w:hint="eastAsia" w:ascii="宋体" w:hAnsi="宋体"/>
          <w:b/>
          <w:u w:val="single"/>
        </w:rPr>
        <w:t>生命线</w:t>
      </w:r>
      <w:r>
        <w:rPr>
          <w:rFonts w:ascii="宋体" w:hAnsi="宋体"/>
          <w:b/>
          <w:u w:val="single"/>
        </w:rPr>
        <w:t>系统规划</w:t>
      </w:r>
      <w:r>
        <w:rPr>
          <w:rFonts w:hint="eastAsia" w:ascii="宋体" w:hAnsi="宋体"/>
          <w:b/>
          <w:u w:val="single"/>
        </w:rPr>
        <w:t>：加强中心城区</w:t>
      </w:r>
      <w:r>
        <w:rPr>
          <w:rFonts w:ascii="宋体" w:hAnsi="宋体"/>
          <w:b/>
          <w:u w:val="single"/>
        </w:rPr>
        <w:t>交通、供水</w:t>
      </w:r>
      <w:r>
        <w:rPr>
          <w:rFonts w:hint="eastAsia" w:ascii="宋体" w:hAnsi="宋体"/>
          <w:b/>
          <w:u w:val="single"/>
        </w:rPr>
        <w:t>、</w:t>
      </w:r>
      <w:r>
        <w:rPr>
          <w:rFonts w:ascii="宋体" w:hAnsi="宋体"/>
          <w:b/>
          <w:u w:val="single"/>
        </w:rPr>
        <w:t>供电、通信和医疗救护系统的建设，确保各系统在救灾过程中的正常运行。</w:t>
      </w:r>
    </w:p>
    <w:p>
      <w:pPr>
        <w:spacing w:before="156"/>
        <w:rPr>
          <w:rFonts w:ascii="宋体" w:hAnsi="宋体"/>
        </w:rPr>
      </w:pPr>
      <w:r>
        <w:rPr>
          <w:rFonts w:hint="eastAsia" w:ascii="宋体" w:hAnsi="宋体"/>
        </w:rPr>
        <w:t>次生灾害</w:t>
      </w:r>
      <w:r>
        <w:rPr>
          <w:rFonts w:ascii="宋体" w:hAnsi="宋体"/>
        </w:rPr>
        <w:t>防治规划</w:t>
      </w:r>
      <w:r>
        <w:rPr>
          <w:rFonts w:hint="eastAsia" w:ascii="宋体" w:hAnsi="宋体"/>
        </w:rPr>
        <w:t>：</w:t>
      </w:r>
      <w:r>
        <w:rPr>
          <w:rFonts w:ascii="宋体" w:hAnsi="宋体"/>
        </w:rPr>
        <w:t>加强</w:t>
      </w:r>
      <w:r>
        <w:rPr>
          <w:rFonts w:hint="eastAsia" w:ascii="宋体" w:hAnsi="宋体"/>
        </w:rPr>
        <w:t>中心城区易燃、易爆、有毒等次生灾害源监测</w:t>
      </w:r>
      <w:r>
        <w:rPr>
          <w:rFonts w:ascii="宋体" w:hAnsi="宋体"/>
        </w:rPr>
        <w:t>和预防措施</w:t>
      </w:r>
      <w:r>
        <w:rPr>
          <w:rFonts w:hint="eastAsia" w:ascii="宋体" w:hAnsi="宋体"/>
        </w:rPr>
        <w:t>；</w:t>
      </w:r>
      <w:r>
        <w:rPr>
          <w:rFonts w:ascii="宋体" w:hAnsi="宋体"/>
        </w:rPr>
        <w:t>同时</w:t>
      </w:r>
      <w:r>
        <w:rPr>
          <w:rFonts w:hint="eastAsia" w:ascii="宋体" w:hAnsi="宋体"/>
        </w:rPr>
        <w:t>加强</w:t>
      </w:r>
      <w:r>
        <w:rPr>
          <w:rFonts w:ascii="宋体" w:hAnsi="宋体"/>
        </w:rPr>
        <w:t>灾害发生后医疗防疫工作，避免发生瘟疫</w:t>
      </w:r>
      <w:r>
        <w:rPr>
          <w:rFonts w:hint="eastAsia" w:ascii="宋体" w:hAnsi="宋体"/>
        </w:rPr>
        <w:t>；规划将现状晋中成品油油库迁建至潇河起步区，其它加油加气站、天然气场站等应预留防护绿带。</w:t>
      </w:r>
    </w:p>
    <w:p>
      <w:pPr>
        <w:pStyle w:val="4"/>
        <w:tabs>
          <w:tab w:val="left" w:pos="993"/>
          <w:tab w:val="clear" w:pos="1260"/>
        </w:tabs>
        <w:spacing w:before="312"/>
        <w:ind w:left="851" w:hanging="834"/>
      </w:pPr>
      <w:r>
        <w:rPr>
          <w:rFonts w:hint="eastAsia"/>
        </w:rPr>
        <w:t>消防</w:t>
      </w:r>
      <w:r>
        <w:rPr>
          <w:rFonts w:hint="eastAsia" w:ascii="Arial" w:hAnsi="Arial"/>
        </w:rPr>
        <w:t>工程</w:t>
      </w:r>
    </w:p>
    <w:p>
      <w:pPr>
        <w:spacing w:before="156"/>
        <w:rPr>
          <w:rFonts w:ascii="Times New Roman" w:hAnsi="Times New Roman"/>
        </w:rPr>
      </w:pPr>
      <w:r>
        <w:rPr>
          <w:rFonts w:hint="eastAsia" w:ascii="Times New Roman" w:hAnsi="Times New Roman"/>
        </w:rPr>
        <w:t>城市消防安全布局：居住和公建用地应与杨盘天然气门站、秋村天然气门站、晋中成品油油库、修文LNG储配站等生产储存易燃易爆物品的工厂、仓库保证足够的隔离空间。</w:t>
      </w:r>
      <w:r>
        <w:rPr>
          <w:rFonts w:ascii="Times New Roman" w:hAnsi="Times New Roman"/>
        </w:rPr>
        <w:t>合理组织和确定易燃易爆危险化学物品的运输线路及高压输气管道走廊，不得穿越城市中心区、公共建筑密集区或其他的人口密集区。</w:t>
      </w:r>
    </w:p>
    <w:p>
      <w:pPr>
        <w:spacing w:before="156"/>
        <w:rPr>
          <w:rFonts w:ascii="Times New Roman" w:hAnsi="Times New Roman"/>
        </w:rPr>
      </w:pPr>
      <w:r>
        <w:rPr>
          <w:rFonts w:hint="eastAsia" w:ascii="Times New Roman" w:hAnsi="Times New Roman"/>
        </w:rPr>
        <w:t>消防站布局规划：保留</w:t>
      </w:r>
      <w:r>
        <w:rPr>
          <w:rFonts w:ascii="Times New Roman" w:hAnsi="Times New Roman"/>
        </w:rPr>
        <w:t>现状</w:t>
      </w:r>
      <w:r>
        <w:rPr>
          <w:rFonts w:hint="eastAsia" w:ascii="Times New Roman" w:hAnsi="Times New Roman"/>
        </w:rPr>
        <w:t>5座普通消防站；迁建</w:t>
      </w:r>
      <w:r>
        <w:rPr>
          <w:rFonts w:ascii="Times New Roman" w:hAnsi="Times New Roman"/>
        </w:rPr>
        <w:t>现状特勤消防站至龙湖街东段</w:t>
      </w:r>
      <w:r>
        <w:rPr>
          <w:rFonts w:hint="eastAsia" w:ascii="Times New Roman" w:hAnsi="Times New Roman"/>
        </w:rPr>
        <w:t>，</w:t>
      </w:r>
      <w:r>
        <w:rPr>
          <w:rFonts w:ascii="Times New Roman" w:hAnsi="Times New Roman"/>
        </w:rPr>
        <w:t>规划思凤街西段新建特勤消防站</w:t>
      </w:r>
      <w:r>
        <w:rPr>
          <w:rFonts w:hint="eastAsia" w:ascii="Times New Roman" w:hAnsi="Times New Roman"/>
        </w:rPr>
        <w:t>1座；另规划新建普通消防站1</w:t>
      </w:r>
      <w:r>
        <w:rPr>
          <w:rFonts w:ascii="Times New Roman" w:hAnsi="Times New Roman"/>
        </w:rPr>
        <w:t>0</w:t>
      </w:r>
      <w:r>
        <w:rPr>
          <w:rFonts w:hint="eastAsia" w:ascii="Times New Roman" w:hAnsi="Times New Roman"/>
        </w:rPr>
        <w:t>座；新建特勤</w:t>
      </w:r>
      <w:r>
        <w:rPr>
          <w:rFonts w:ascii="Times New Roman" w:hAnsi="Times New Roman"/>
        </w:rPr>
        <w:t>消防站每座预留用地</w:t>
      </w:r>
      <w:r>
        <w:rPr>
          <w:rFonts w:hint="eastAsia" w:ascii="Times New Roman" w:hAnsi="Times New Roman"/>
        </w:rPr>
        <w:t>8000-10000平方米</w:t>
      </w:r>
      <w:r>
        <w:rPr>
          <w:rFonts w:ascii="Times New Roman" w:hAnsi="Times New Roman"/>
        </w:rPr>
        <w:t>，普通消防站</w:t>
      </w:r>
      <w:r>
        <w:rPr>
          <w:rFonts w:hint="eastAsia" w:ascii="Times New Roman" w:hAnsi="Times New Roman"/>
        </w:rPr>
        <w:t>每座预留</w:t>
      </w:r>
      <w:r>
        <w:rPr>
          <w:rFonts w:ascii="Times New Roman" w:hAnsi="Times New Roman"/>
        </w:rPr>
        <w:t>用地</w:t>
      </w:r>
      <w:r>
        <w:rPr>
          <w:rFonts w:hint="eastAsia" w:ascii="Times New Roman" w:hAnsi="Times New Roman"/>
        </w:rPr>
        <w:t>3900</w:t>
      </w:r>
      <w:r>
        <w:rPr>
          <w:rFonts w:ascii="Times New Roman" w:hAnsi="Times New Roman"/>
        </w:rPr>
        <w:t>～5</w:t>
      </w:r>
      <w:r>
        <w:rPr>
          <w:rFonts w:hint="eastAsia" w:ascii="Times New Roman" w:hAnsi="Times New Roman"/>
        </w:rPr>
        <w:t>6</w:t>
      </w:r>
      <w:r>
        <w:rPr>
          <w:rFonts w:ascii="Times New Roman" w:hAnsi="Times New Roman"/>
        </w:rPr>
        <w:t>00平方米。</w:t>
      </w:r>
    </w:p>
    <w:p>
      <w:pPr>
        <w:spacing w:before="156"/>
        <w:rPr>
          <w:rFonts w:ascii="Times New Roman" w:hAnsi="Times New Roman"/>
        </w:rPr>
      </w:pPr>
      <w:r>
        <w:rPr>
          <w:rFonts w:hint="eastAsia" w:ascii="Times New Roman" w:hAnsi="Times New Roman"/>
        </w:rPr>
        <w:t>公共</w:t>
      </w:r>
      <w:r>
        <w:rPr>
          <w:rFonts w:ascii="Times New Roman" w:hAnsi="Times New Roman"/>
        </w:rPr>
        <w:t>消防</w:t>
      </w:r>
      <w:r>
        <w:rPr>
          <w:rFonts w:hint="eastAsia" w:ascii="Times New Roman" w:hAnsi="Times New Roman"/>
        </w:rPr>
        <w:t>基础设施规划：</w:t>
      </w:r>
      <w:r>
        <w:rPr>
          <w:rFonts w:ascii="Times New Roman" w:hAnsi="Times New Roman"/>
        </w:rPr>
        <w:t>完善</w:t>
      </w:r>
      <w:r>
        <w:rPr>
          <w:rFonts w:hint="eastAsia" w:ascii="Times New Roman" w:hAnsi="Times New Roman"/>
        </w:rPr>
        <w:t>消防</w:t>
      </w:r>
      <w:r>
        <w:rPr>
          <w:rFonts w:ascii="Times New Roman" w:hAnsi="Times New Roman"/>
        </w:rPr>
        <w:t>供水系统、消防车取水口和消防栓等设施</w:t>
      </w:r>
      <w:r>
        <w:rPr>
          <w:rFonts w:hint="eastAsia" w:ascii="Times New Roman" w:hAnsi="Times New Roman"/>
        </w:rPr>
        <w:t>建设，消火栓</w:t>
      </w:r>
      <w:r>
        <w:rPr>
          <w:rFonts w:ascii="Times New Roman" w:hAnsi="Times New Roman"/>
        </w:rPr>
        <w:t>设置间距</w:t>
      </w:r>
      <w:r>
        <w:rPr>
          <w:rFonts w:hint="eastAsia" w:ascii="Times New Roman" w:hAnsi="Times New Roman"/>
        </w:rPr>
        <w:t>不大于120米，保护半径不大于150米；</w:t>
      </w:r>
      <w:r>
        <w:rPr>
          <w:rFonts w:ascii="Times New Roman" w:hAnsi="Times New Roman"/>
        </w:rPr>
        <w:t>建立火灾报警</w:t>
      </w:r>
      <w:r>
        <w:rPr>
          <w:rFonts w:hint="eastAsia" w:ascii="Times New Roman" w:hAnsi="Times New Roman"/>
        </w:rPr>
        <w:t>、消防信息综合管理系统和指挥训练模拟系统等组成消防通信系统；</w:t>
      </w:r>
      <w:r>
        <w:rPr>
          <w:rFonts w:ascii="Times New Roman" w:hAnsi="Times New Roman"/>
        </w:rPr>
        <w:t>加快城市道路网建设</w:t>
      </w:r>
      <w:r>
        <w:rPr>
          <w:rFonts w:hint="eastAsia" w:ascii="Times New Roman" w:hAnsi="Times New Roman"/>
        </w:rPr>
        <w:t>，</w:t>
      </w:r>
      <w:r>
        <w:rPr>
          <w:rFonts w:ascii="Times New Roman" w:hAnsi="Times New Roman"/>
        </w:rPr>
        <w:t>改善消防通道，保证消防车辆的通行</w:t>
      </w:r>
      <w:r>
        <w:rPr>
          <w:rFonts w:hint="eastAsia" w:ascii="Times New Roman" w:hAnsi="Times New Roman"/>
        </w:rPr>
        <w:t>。</w:t>
      </w:r>
    </w:p>
    <w:p>
      <w:pPr>
        <w:pStyle w:val="4"/>
        <w:tabs>
          <w:tab w:val="left" w:pos="993"/>
          <w:tab w:val="clear" w:pos="1260"/>
        </w:tabs>
        <w:spacing w:before="312"/>
        <w:ind w:left="851" w:hanging="834"/>
      </w:pPr>
      <w:r>
        <w:rPr>
          <w:rFonts w:hint="eastAsia"/>
        </w:rPr>
        <w:t>人防</w:t>
      </w:r>
      <w:r>
        <w:rPr>
          <w:rFonts w:hint="eastAsia" w:ascii="Arial" w:hAnsi="Arial"/>
        </w:rPr>
        <w:t>工程</w:t>
      </w:r>
    </w:p>
    <w:p>
      <w:pPr>
        <w:pStyle w:val="42"/>
        <w:rPr>
          <w:rStyle w:val="52"/>
          <w:color w:val="auto"/>
        </w:rPr>
      </w:pPr>
      <w:r>
        <w:rPr>
          <w:rStyle w:val="52"/>
          <w:rFonts w:hint="eastAsia"/>
          <w:color w:val="auto"/>
        </w:rPr>
        <w:t>防护标准：晋中市为国家三类人防重点城市。</w:t>
      </w:r>
    </w:p>
    <w:p>
      <w:pPr>
        <w:spacing w:before="156"/>
        <w:rPr>
          <w:rFonts w:ascii="宋体" w:hAnsi="宋体"/>
        </w:rPr>
      </w:pPr>
      <w:r>
        <w:rPr>
          <w:rFonts w:hint="eastAsia" w:ascii="宋体" w:hAnsi="宋体"/>
        </w:rPr>
        <w:t>防护重点：加强政府机关办公楼、人防公安指挥所、广播电视电信局所、市政设施、交通枢纽等的</w:t>
      </w:r>
      <w:r>
        <w:rPr>
          <w:rFonts w:ascii="宋体" w:hAnsi="宋体"/>
        </w:rPr>
        <w:t>保护</w:t>
      </w:r>
      <w:r>
        <w:rPr>
          <w:rFonts w:hint="eastAsia" w:ascii="宋体" w:hAnsi="宋体"/>
        </w:rPr>
        <w:t>，战时情况下确保重点目标周边人员的快速疏散、目标重要设备的转移和掩蔽以及危险目标的安全停产。</w:t>
      </w:r>
    </w:p>
    <w:p>
      <w:pPr>
        <w:spacing w:before="156"/>
        <w:rPr>
          <w:rFonts w:ascii="宋体" w:hAnsi="宋体"/>
        </w:rPr>
      </w:pPr>
      <w:r>
        <w:rPr>
          <w:rFonts w:ascii="宋体" w:hAnsi="宋体"/>
        </w:rPr>
        <w:t>防护</w:t>
      </w:r>
      <w:r>
        <w:rPr>
          <w:rFonts w:hint="eastAsia" w:ascii="宋体" w:hAnsi="宋体"/>
        </w:rPr>
        <w:t>工程：中心城区所需的人防工程面积约为</w:t>
      </w:r>
      <w:r>
        <w:rPr>
          <w:rFonts w:ascii="宋体" w:hAnsi="宋体"/>
        </w:rPr>
        <w:t>69</w:t>
      </w:r>
      <w:r>
        <w:rPr>
          <w:rFonts w:hint="eastAsia" w:ascii="宋体" w:hAnsi="宋体"/>
        </w:rPr>
        <w:t>万平方米。合理有序开发利用地下空间资源。城市新区建设、旧城改造、市政公用基础设施和房屋建筑等工程的规划和建设，应根据人防要求，利用地下空间构建城市地下防护空间体系，将人防工程与城市地下交通等设施相联成网。加强对军事设施等要害部门的保护，提高战时防空抗毁能力。</w:t>
      </w:r>
    </w:p>
    <w:p>
      <w:pPr>
        <w:pStyle w:val="4"/>
        <w:tabs>
          <w:tab w:val="left" w:pos="993"/>
          <w:tab w:val="clear" w:pos="1260"/>
        </w:tabs>
        <w:spacing w:before="312"/>
        <w:ind w:left="851" w:hanging="834"/>
      </w:pPr>
      <w:r>
        <w:rPr>
          <w:rFonts w:hint="eastAsia"/>
        </w:rPr>
        <w:t>地质灾害防治</w:t>
      </w:r>
    </w:p>
    <w:p>
      <w:pPr>
        <w:spacing w:before="156"/>
        <w:rPr>
          <w:rFonts w:ascii="宋体" w:hAnsi="宋体"/>
        </w:rPr>
      </w:pPr>
      <w:r>
        <w:rPr>
          <w:rFonts w:hint="eastAsia" w:ascii="宋体" w:hAnsi="宋体"/>
        </w:rPr>
        <w:t>防治项目：中心城区范围内地质灾害主要以地裂缝为主，三条地裂缝分别位于一三九处经北郊变电站至九普、王湖至市一中及一七二处。</w:t>
      </w:r>
    </w:p>
    <w:p>
      <w:pPr>
        <w:spacing w:before="156"/>
        <w:rPr>
          <w:rFonts w:ascii="宋体" w:hAnsi="宋体"/>
        </w:rPr>
      </w:pPr>
      <w:r>
        <w:rPr>
          <w:rFonts w:hint="eastAsia" w:ascii="宋体" w:hAnsi="宋体"/>
        </w:rPr>
        <w:t>防治措施：坚持以避让为主的原则，地裂缝两侧各预留不小于25米绿化带同时应控制人为因素对地裂缝强化作用，如减少地下水开采量以控制地面沉降活动，防止地面沉降对地裂缝的促进。</w:t>
      </w:r>
      <w:r>
        <w:rPr>
          <w:rFonts w:hint="eastAsia"/>
        </w:rPr>
        <w:t>对现状已经存在工程地质隐患的各类建设，应抓紧进行安全评估，采取相应的工程防治措施，建设项目更新建设时，应予以避让。</w:t>
      </w:r>
    </w:p>
    <w:p>
      <w:pPr>
        <w:spacing w:before="156"/>
        <w:rPr>
          <w:rFonts w:ascii="宋体" w:hAnsi="宋体"/>
        </w:rPr>
      </w:pPr>
      <w:r>
        <w:rPr>
          <w:rFonts w:hint="eastAsia" w:ascii="宋体" w:hAnsi="宋体"/>
        </w:rPr>
        <w:t>有地质灾害隐患的地区，在各类</w:t>
      </w:r>
      <w:r>
        <w:rPr>
          <w:rFonts w:ascii="宋体" w:hAnsi="宋体"/>
        </w:rPr>
        <w:t>城市</w:t>
      </w:r>
      <w:r>
        <w:rPr>
          <w:rFonts w:hint="eastAsia" w:ascii="宋体" w:hAnsi="宋体"/>
        </w:rPr>
        <w:t>建设</w:t>
      </w:r>
      <w:r>
        <w:rPr>
          <w:rFonts w:ascii="宋体" w:hAnsi="宋体"/>
        </w:rPr>
        <w:t>活动</w:t>
      </w:r>
      <w:r>
        <w:rPr>
          <w:rFonts w:hint="eastAsia" w:ascii="宋体" w:hAnsi="宋体"/>
        </w:rPr>
        <w:t>之前</w:t>
      </w:r>
      <w:r>
        <w:rPr>
          <w:rFonts w:ascii="宋体" w:hAnsi="宋体"/>
        </w:rPr>
        <w:t>，</w:t>
      </w:r>
      <w:r>
        <w:rPr>
          <w:rFonts w:hint="eastAsia" w:ascii="宋体" w:hAnsi="宋体"/>
        </w:rPr>
        <w:t>需进一步</w:t>
      </w:r>
      <w:r>
        <w:rPr>
          <w:rFonts w:ascii="宋体" w:hAnsi="宋体"/>
        </w:rPr>
        <w:t>对</w:t>
      </w:r>
      <w:r>
        <w:rPr>
          <w:rFonts w:hint="eastAsia" w:ascii="宋体" w:hAnsi="宋体"/>
        </w:rPr>
        <w:t>拟</w:t>
      </w:r>
      <w:r>
        <w:rPr>
          <w:rFonts w:ascii="宋体" w:hAnsi="宋体"/>
        </w:rPr>
        <w:t>建设用地</w:t>
      </w:r>
      <w:r>
        <w:rPr>
          <w:rFonts w:hint="eastAsia" w:ascii="宋体" w:hAnsi="宋体"/>
        </w:rPr>
        <w:t>进行</w:t>
      </w:r>
      <w:r>
        <w:rPr>
          <w:rFonts w:ascii="宋体" w:hAnsi="宋体"/>
        </w:rPr>
        <w:t>地质详勘，</w:t>
      </w:r>
      <w:r>
        <w:rPr>
          <w:rFonts w:hint="eastAsia" w:ascii="宋体" w:hAnsi="宋体"/>
        </w:rPr>
        <w:t>躲避</w:t>
      </w:r>
      <w:r>
        <w:rPr>
          <w:rFonts w:ascii="宋体" w:hAnsi="宋体"/>
        </w:rPr>
        <w:t>地质灾害区，避免</w:t>
      </w:r>
      <w:r>
        <w:rPr>
          <w:rFonts w:hint="eastAsia" w:ascii="宋体" w:hAnsi="宋体"/>
        </w:rPr>
        <w:t>造成</w:t>
      </w:r>
      <w:r>
        <w:rPr>
          <w:rFonts w:ascii="宋体" w:hAnsi="宋体"/>
        </w:rPr>
        <w:t>各类损失。</w:t>
      </w:r>
    </w:p>
    <w:p>
      <w:pPr>
        <w:pStyle w:val="3"/>
        <w:spacing w:before="156" w:after="156"/>
        <w:rPr>
          <w:rFonts w:ascii="Arial" w:hAnsi="Arial"/>
        </w:rPr>
      </w:pPr>
      <w:bookmarkStart w:id="307" w:name="_Toc340759623"/>
      <w:bookmarkStart w:id="308" w:name="_Toc275418567"/>
      <w:bookmarkStart w:id="309" w:name="_Toc492850130"/>
      <w:bookmarkStart w:id="310" w:name="_Toc275417954"/>
      <w:bookmarkStart w:id="311" w:name="_Toc277460808"/>
      <w:bookmarkStart w:id="312" w:name="_Toc277460160"/>
      <w:bookmarkStart w:id="313" w:name="_Toc277460965"/>
      <w:bookmarkStart w:id="314" w:name="_Toc277460651"/>
      <w:bookmarkStart w:id="315" w:name="_Toc277459713"/>
      <w:r>
        <w:rPr>
          <w:rFonts w:hint="eastAsia" w:ascii="Arial" w:hAnsi="Arial"/>
        </w:rPr>
        <w:t>第十五节地下空间规划</w:t>
      </w:r>
      <w:bookmarkEnd w:id="307"/>
      <w:bookmarkEnd w:id="308"/>
      <w:bookmarkEnd w:id="309"/>
      <w:bookmarkEnd w:id="310"/>
      <w:bookmarkEnd w:id="311"/>
      <w:bookmarkEnd w:id="312"/>
      <w:bookmarkEnd w:id="313"/>
      <w:bookmarkEnd w:id="314"/>
      <w:bookmarkEnd w:id="315"/>
    </w:p>
    <w:p>
      <w:pPr>
        <w:pStyle w:val="4"/>
        <w:tabs>
          <w:tab w:val="left" w:pos="993"/>
          <w:tab w:val="clear" w:pos="1260"/>
        </w:tabs>
        <w:spacing w:before="312"/>
        <w:ind w:left="851" w:hanging="834"/>
      </w:pPr>
      <w:bookmarkStart w:id="316" w:name="_Toc277460653"/>
      <w:bookmarkStart w:id="317" w:name="_Toc277460810"/>
      <w:bookmarkStart w:id="318" w:name="_Toc275418569"/>
      <w:bookmarkStart w:id="319" w:name="_Toc277460967"/>
      <w:r>
        <w:rPr>
          <w:rFonts w:hint="eastAsia"/>
        </w:rPr>
        <w:t>规划目标</w:t>
      </w:r>
      <w:bookmarkEnd w:id="316"/>
      <w:bookmarkEnd w:id="317"/>
      <w:bookmarkEnd w:id="318"/>
      <w:bookmarkEnd w:id="319"/>
    </w:p>
    <w:p>
      <w:pPr>
        <w:spacing w:before="156"/>
        <w:rPr>
          <w:rFonts w:ascii="宋体" w:hAnsi="宋体"/>
        </w:rPr>
      </w:pPr>
      <w:r>
        <w:rPr>
          <w:rFonts w:hint="eastAsia" w:ascii="宋体" w:hAnsi="宋体"/>
        </w:rPr>
        <w:t>建设功能齐全、安全方便、环境优美的地下空间系统，形成以地下轨道为脉络、以大型公共建筑密集区、地下轨道换乘枢纽为节点的地下空间网络系统，包括地下公共空间系统、地下交通系统、地下市政系统、地下人防系统等，逐步实现城市新开发地区和更新地区的立体化开发。</w:t>
      </w:r>
    </w:p>
    <w:p>
      <w:pPr>
        <w:spacing w:before="156"/>
        <w:rPr>
          <w:rFonts w:ascii="宋体" w:hAnsi="宋体"/>
        </w:rPr>
      </w:pPr>
      <w:r>
        <w:rPr>
          <w:rFonts w:hint="eastAsia" w:ascii="宋体" w:hAnsi="宋体"/>
        </w:rPr>
        <w:t>规划</w:t>
      </w:r>
      <w:r>
        <w:rPr>
          <w:rFonts w:hint="default" w:ascii="Times New Roman" w:hAnsi="Times New Roman" w:cs="Times New Roman"/>
        </w:rPr>
        <w:t>2030</w:t>
      </w:r>
      <w:r>
        <w:rPr>
          <w:rFonts w:ascii="宋体" w:hAnsi="宋体"/>
        </w:rPr>
        <w:t>年规划新建项目地下化比例达到</w:t>
      </w:r>
      <w:r>
        <w:rPr>
          <w:rFonts w:hint="default" w:ascii="Times New Roman" w:hAnsi="Times New Roman" w:cs="Times New Roman"/>
        </w:rPr>
        <w:t>8-10％</w:t>
      </w:r>
      <w:r>
        <w:rPr>
          <w:rFonts w:ascii="宋体" w:hAnsi="宋体"/>
        </w:rPr>
        <w:t>。</w:t>
      </w:r>
    </w:p>
    <w:p>
      <w:pPr>
        <w:pStyle w:val="4"/>
        <w:tabs>
          <w:tab w:val="left" w:pos="993"/>
          <w:tab w:val="clear" w:pos="1260"/>
        </w:tabs>
        <w:spacing w:before="312"/>
        <w:ind w:left="851" w:hanging="834"/>
      </w:pPr>
      <w:bookmarkStart w:id="320" w:name="_Toc277460654"/>
      <w:bookmarkStart w:id="321" w:name="_Toc277460968"/>
      <w:bookmarkStart w:id="322" w:name="_Toc275418570"/>
      <w:bookmarkStart w:id="323" w:name="_Toc277460811"/>
      <w:bookmarkStart w:id="324" w:name="_Toc194914740"/>
      <w:r>
        <w:rPr>
          <w:rFonts w:hint="eastAsia"/>
        </w:rPr>
        <w:t>地下空间规划布局</w:t>
      </w:r>
      <w:bookmarkEnd w:id="320"/>
      <w:bookmarkEnd w:id="321"/>
      <w:bookmarkEnd w:id="322"/>
      <w:bookmarkEnd w:id="323"/>
      <w:bookmarkEnd w:id="324"/>
    </w:p>
    <w:p>
      <w:pPr>
        <w:pStyle w:val="131"/>
        <w:spacing w:before="156"/>
        <w:ind w:left="960"/>
        <w:rPr>
          <w:rFonts w:ascii="宋体" w:hAnsi="宋体"/>
        </w:rPr>
      </w:pPr>
      <w:r>
        <w:rPr>
          <w:rFonts w:hint="eastAsia" w:ascii="宋体" w:hAnsi="宋体"/>
        </w:rPr>
        <w:t>（1）平面</w:t>
      </w:r>
      <w:r>
        <w:rPr>
          <w:rFonts w:hint="eastAsia" w:ascii="Arial" w:hAnsi="Arial"/>
        </w:rPr>
        <w:t>形态</w:t>
      </w:r>
      <w:r>
        <w:rPr>
          <w:rFonts w:hint="eastAsia" w:ascii="宋体" w:hAnsi="宋体"/>
        </w:rPr>
        <w:t>布局</w:t>
      </w:r>
    </w:p>
    <w:p>
      <w:pPr>
        <w:spacing w:before="156"/>
        <w:rPr>
          <w:rFonts w:ascii="宋体" w:hAnsi="宋体"/>
        </w:rPr>
      </w:pPr>
      <w:r>
        <w:rPr>
          <w:rFonts w:hint="eastAsia" w:ascii="宋体" w:hAnsi="宋体"/>
        </w:rPr>
        <w:t>建设与城市空间发展方向相协调，以城市重要公共地标节点地区为发展源，以地下轨道交通站点枢纽为支撑点，以城市地铁轨道线为骨架发展轴地下空间布局形态。</w:t>
      </w:r>
    </w:p>
    <w:p>
      <w:pPr>
        <w:pStyle w:val="131"/>
        <w:spacing w:before="156"/>
        <w:ind w:left="960"/>
        <w:rPr>
          <w:rFonts w:ascii="宋体" w:hAnsi="宋体"/>
        </w:rPr>
      </w:pPr>
      <w:r>
        <w:rPr>
          <w:rFonts w:hint="eastAsia" w:ascii="宋体" w:hAnsi="宋体"/>
        </w:rPr>
        <w:t>（2）竖向</w:t>
      </w:r>
      <w:r>
        <w:rPr>
          <w:rFonts w:hint="eastAsia" w:ascii="Arial" w:hAnsi="Arial"/>
        </w:rPr>
        <w:t>开发</w:t>
      </w:r>
      <w:r>
        <w:rPr>
          <w:rFonts w:hint="eastAsia" w:ascii="宋体" w:hAnsi="宋体"/>
        </w:rPr>
        <w:t>层次</w:t>
      </w:r>
    </w:p>
    <w:p>
      <w:pPr>
        <w:spacing w:before="156"/>
        <w:rPr>
          <w:rFonts w:ascii="宋体" w:hAnsi="宋体"/>
        </w:rPr>
      </w:pPr>
      <w:r>
        <w:rPr>
          <w:rFonts w:hint="eastAsia" w:ascii="宋体" w:hAnsi="宋体"/>
        </w:rPr>
        <w:t>地下空间开发利用</w:t>
      </w:r>
      <w:r>
        <w:rPr>
          <w:rFonts w:ascii="宋体" w:hAnsi="宋体"/>
        </w:rPr>
        <w:t>从总体上控制在地表以下</w:t>
      </w:r>
      <w:r>
        <w:rPr>
          <w:rFonts w:hint="default" w:ascii="Times New Roman" w:hAnsi="Times New Roman" w:cs="Times New Roman"/>
        </w:rPr>
        <w:t>30</w:t>
      </w:r>
      <w:r>
        <w:rPr>
          <w:rFonts w:ascii="宋体" w:hAnsi="宋体"/>
        </w:rPr>
        <w:t>米的</w:t>
      </w:r>
      <w:r>
        <w:rPr>
          <w:rFonts w:hint="eastAsia" w:ascii="宋体" w:hAnsi="宋体"/>
        </w:rPr>
        <w:t>浅层和次浅层</w:t>
      </w:r>
      <w:r>
        <w:rPr>
          <w:rFonts w:ascii="宋体" w:hAnsi="宋体"/>
        </w:rPr>
        <w:t>范围内，深层地下空间</w:t>
      </w:r>
      <w:r>
        <w:rPr>
          <w:rFonts w:hint="eastAsia" w:ascii="宋体" w:hAnsi="宋体"/>
        </w:rPr>
        <w:t>作为资源严格</w:t>
      </w:r>
      <w:r>
        <w:rPr>
          <w:rFonts w:ascii="宋体" w:hAnsi="宋体"/>
        </w:rPr>
        <w:t>保护控制。</w:t>
      </w:r>
    </w:p>
    <w:p>
      <w:pPr>
        <w:pStyle w:val="4"/>
        <w:tabs>
          <w:tab w:val="left" w:pos="993"/>
          <w:tab w:val="clear" w:pos="1260"/>
        </w:tabs>
        <w:spacing w:before="312"/>
        <w:ind w:left="851" w:hanging="834"/>
      </w:pPr>
      <w:bookmarkStart w:id="325" w:name="_Toc277460812"/>
      <w:bookmarkStart w:id="326" w:name="_Toc277460655"/>
      <w:bookmarkStart w:id="327" w:name="_Toc277460969"/>
      <w:bookmarkStart w:id="328" w:name="_Toc275418571"/>
      <w:bookmarkStart w:id="329" w:name="_Toc194914741"/>
      <w:r>
        <w:rPr>
          <w:rFonts w:hint="eastAsia"/>
        </w:rPr>
        <w:t>地下空间设施规划</w:t>
      </w:r>
      <w:bookmarkEnd w:id="325"/>
      <w:bookmarkEnd w:id="326"/>
      <w:bookmarkEnd w:id="327"/>
      <w:bookmarkEnd w:id="328"/>
      <w:bookmarkEnd w:id="329"/>
    </w:p>
    <w:p>
      <w:pPr>
        <w:pStyle w:val="131"/>
        <w:spacing w:before="156"/>
        <w:ind w:left="960"/>
        <w:rPr>
          <w:rFonts w:ascii="宋体" w:hAnsi="宋体"/>
        </w:rPr>
      </w:pPr>
      <w:r>
        <w:rPr>
          <w:rFonts w:hint="eastAsia" w:ascii="宋体" w:hAnsi="宋体"/>
        </w:rPr>
        <w:t>（1）</w:t>
      </w:r>
      <w:r>
        <w:rPr>
          <w:rFonts w:ascii="宋体" w:hAnsi="宋体"/>
        </w:rPr>
        <w:t>地下</w:t>
      </w:r>
      <w:r>
        <w:rPr>
          <w:rFonts w:ascii="Arial" w:hAnsi="Arial"/>
        </w:rPr>
        <w:t>交通</w:t>
      </w:r>
      <w:r>
        <w:rPr>
          <w:rFonts w:hint="eastAsia" w:ascii="Arial" w:hAnsi="Arial"/>
        </w:rPr>
        <w:t>系统</w:t>
      </w:r>
      <w:r>
        <w:rPr>
          <w:rFonts w:ascii="宋体" w:hAnsi="宋体"/>
        </w:rPr>
        <w:t>设施</w:t>
      </w:r>
    </w:p>
    <w:p>
      <w:pPr>
        <w:spacing w:before="156"/>
        <w:rPr>
          <w:rFonts w:ascii="宋体" w:hAnsi="宋体"/>
        </w:rPr>
      </w:pPr>
      <w:r>
        <w:rPr>
          <w:rFonts w:hint="eastAsia" w:ascii="宋体" w:hAnsi="宋体"/>
        </w:rPr>
        <w:t>建设地下快速轨道和地下停车场。快速轨道交通系统作为地下空间开发利用的主要骨架和防空、防灾体系的重要设施。地下停车场结合人防工程、各类建筑和广场绿地的地下空间进行建设，平时作为城市地面停车的必要补充，战时作为防空专业队车辆掩蔽部或物资库等。</w:t>
      </w:r>
    </w:p>
    <w:p>
      <w:pPr>
        <w:pStyle w:val="131"/>
        <w:spacing w:before="156"/>
        <w:ind w:left="960"/>
        <w:rPr>
          <w:rFonts w:ascii="宋体" w:hAnsi="宋体"/>
        </w:rPr>
      </w:pPr>
      <w:r>
        <w:rPr>
          <w:rFonts w:hint="eastAsia" w:ascii="宋体" w:hAnsi="宋体"/>
        </w:rPr>
        <w:t>（2）</w:t>
      </w:r>
      <w:r>
        <w:rPr>
          <w:rFonts w:ascii="宋体" w:hAnsi="宋体"/>
        </w:rPr>
        <w:t>地下</w:t>
      </w:r>
      <w:r>
        <w:rPr>
          <w:rFonts w:hint="eastAsia" w:ascii="宋体" w:hAnsi="宋体"/>
        </w:rPr>
        <w:t>公共服务设施</w:t>
      </w:r>
    </w:p>
    <w:p>
      <w:pPr>
        <w:spacing w:before="156"/>
        <w:rPr>
          <w:rFonts w:ascii="宋体" w:hAnsi="宋体"/>
        </w:rPr>
      </w:pPr>
      <w:r>
        <w:rPr>
          <w:rFonts w:hint="eastAsia" w:ascii="宋体" w:hAnsi="宋体"/>
        </w:rPr>
        <w:t>结合城市主次商务、商业、公共服务中心和地铁换乘枢纽建设地下多功能活动综合体，并在地下人行交通密集地区建设地下步行商业街，战时作为人民掩蔽部等。</w:t>
      </w:r>
    </w:p>
    <w:p>
      <w:pPr>
        <w:pStyle w:val="131"/>
        <w:spacing w:before="156"/>
        <w:ind w:left="960"/>
        <w:rPr>
          <w:rFonts w:ascii="宋体" w:hAnsi="宋体"/>
        </w:rPr>
      </w:pPr>
      <w:r>
        <w:rPr>
          <w:rFonts w:hint="eastAsia" w:ascii="宋体" w:hAnsi="宋体"/>
        </w:rPr>
        <w:t>（3）</w:t>
      </w:r>
      <w:r>
        <w:rPr>
          <w:rFonts w:ascii="宋体" w:hAnsi="宋体"/>
        </w:rPr>
        <w:t>城市地下基础设施</w:t>
      </w:r>
    </w:p>
    <w:p>
      <w:pPr>
        <w:spacing w:before="156"/>
        <w:rPr>
          <w:rFonts w:ascii="宋体" w:hAnsi="宋体"/>
        </w:rPr>
      </w:pPr>
      <w:r>
        <w:rPr>
          <w:rFonts w:hint="eastAsia" w:ascii="宋体" w:hAnsi="宋体"/>
        </w:rPr>
        <w:t>在道路或地铁沿线，统筹安排地下城市基础设施管网及设施，远期可考虑结合地铁建设和道路改建在局部地下管网密集路段建设共同沟，共同沟的设计和施工应兼顾人防工程要求。</w:t>
      </w:r>
    </w:p>
    <w:p>
      <w:pPr>
        <w:pStyle w:val="131"/>
        <w:spacing w:before="156"/>
        <w:ind w:left="960"/>
        <w:rPr>
          <w:rFonts w:ascii="宋体" w:hAnsi="宋体"/>
        </w:rPr>
      </w:pPr>
      <w:r>
        <w:rPr>
          <w:rFonts w:hint="eastAsia" w:ascii="宋体" w:hAnsi="宋体"/>
        </w:rPr>
        <w:t>（4）</w:t>
      </w:r>
      <w:r>
        <w:rPr>
          <w:rFonts w:ascii="宋体" w:hAnsi="宋体"/>
        </w:rPr>
        <w:t>地下工业仓储设施</w:t>
      </w:r>
    </w:p>
    <w:p>
      <w:pPr>
        <w:spacing w:before="156"/>
        <w:rPr>
          <w:rFonts w:ascii="宋体" w:hAnsi="宋体"/>
        </w:rPr>
      </w:pPr>
      <w:r>
        <w:rPr>
          <w:rFonts w:hint="eastAsia" w:ascii="宋体" w:hAnsi="宋体"/>
        </w:rPr>
        <w:t>搬迁主城区的部分工业和仓储设施，适当结合人防工程建设地下工业仓储设施。</w:t>
      </w:r>
    </w:p>
    <w:p>
      <w:pPr>
        <w:pStyle w:val="131"/>
        <w:spacing w:before="156"/>
        <w:ind w:left="960"/>
        <w:rPr>
          <w:rFonts w:ascii="宋体" w:hAnsi="宋体"/>
        </w:rPr>
      </w:pPr>
      <w:r>
        <w:rPr>
          <w:rFonts w:hint="eastAsia" w:ascii="宋体" w:hAnsi="宋体"/>
        </w:rPr>
        <w:t>（5）</w:t>
      </w:r>
      <w:r>
        <w:rPr>
          <w:rFonts w:ascii="宋体" w:hAnsi="宋体"/>
        </w:rPr>
        <w:t>地下</w:t>
      </w:r>
      <w:r>
        <w:rPr>
          <w:rFonts w:ascii="Arial" w:hAnsi="Arial"/>
        </w:rPr>
        <w:t>防空</w:t>
      </w:r>
      <w:r>
        <w:rPr>
          <w:rFonts w:ascii="宋体" w:hAnsi="宋体"/>
        </w:rPr>
        <w:t>防灾设施</w:t>
      </w:r>
    </w:p>
    <w:p>
      <w:pPr>
        <w:spacing w:before="156"/>
        <w:rPr>
          <w:rFonts w:ascii="宋体" w:hAnsi="宋体"/>
        </w:rPr>
      </w:pPr>
      <w:r>
        <w:rPr>
          <w:rFonts w:hint="eastAsia" w:ascii="宋体" w:hAnsi="宋体"/>
        </w:rPr>
        <w:t>利用地下空间的防灾特性、资源潜力，建设系统化、现代化的地下防灾体系，包括人防空间、储藏空间、地下避难场所、地下生命线等。</w:t>
      </w:r>
    </w:p>
    <w:p>
      <w:pPr>
        <w:pStyle w:val="3"/>
        <w:numPr>
          <w:ilvl w:val="1"/>
          <w:numId w:val="0"/>
        </w:numPr>
        <w:spacing w:beforeLines="0" w:afterLines="0" w:line="416" w:lineRule="auto"/>
        <w:rPr>
          <w:rStyle w:val="52"/>
          <w:b w:val="0"/>
          <w:color w:val="auto"/>
          <w:u w:val="none"/>
        </w:rPr>
        <w:sectPr>
          <w:pgSz w:w="11906" w:h="16838"/>
          <w:pgMar w:top="1440" w:right="1800" w:bottom="1440" w:left="1800" w:header="851" w:footer="992" w:gutter="0"/>
          <w:cols w:space="425" w:num="1"/>
          <w:docGrid w:type="lines" w:linePitch="312" w:charSpace="0"/>
        </w:sectPr>
      </w:pPr>
    </w:p>
    <w:p>
      <w:pPr>
        <w:pStyle w:val="3"/>
        <w:spacing w:before="156" w:after="156"/>
        <w:rPr>
          <w:rFonts w:ascii="Arial" w:hAnsi="Arial"/>
        </w:rPr>
      </w:pPr>
      <w:bookmarkStart w:id="330" w:name="_Toc492850131"/>
      <w:r>
        <w:rPr>
          <w:rFonts w:hint="eastAsia" w:ascii="Arial" w:hAnsi="Arial"/>
        </w:rPr>
        <w:t>第十六节发展时序</w:t>
      </w:r>
      <w:bookmarkEnd w:id="330"/>
    </w:p>
    <w:p>
      <w:pPr>
        <w:pStyle w:val="4"/>
        <w:tabs>
          <w:tab w:val="left" w:pos="993"/>
          <w:tab w:val="clear" w:pos="1260"/>
        </w:tabs>
        <w:spacing w:before="312"/>
        <w:ind w:left="851" w:hanging="834"/>
      </w:pPr>
      <w:bookmarkStart w:id="331" w:name="_Toc277460658"/>
      <w:bookmarkStart w:id="332" w:name="_Toc275418574"/>
      <w:bookmarkStart w:id="333" w:name="_Toc277460972"/>
      <w:bookmarkStart w:id="334" w:name="_Toc277460815"/>
      <w:r>
        <w:rPr>
          <w:rFonts w:hint="eastAsia"/>
        </w:rPr>
        <w:t>近期</w:t>
      </w:r>
      <w:bookmarkEnd w:id="331"/>
      <w:bookmarkEnd w:id="332"/>
      <w:bookmarkEnd w:id="333"/>
      <w:bookmarkEnd w:id="334"/>
    </w:p>
    <w:p>
      <w:pPr>
        <w:spacing w:before="156"/>
        <w:rPr>
          <w:rFonts w:ascii="宋体" w:hAnsi="宋体"/>
        </w:rPr>
      </w:pPr>
      <w:r>
        <w:rPr>
          <w:rFonts w:hint="eastAsia" w:ascii="宋体" w:hAnsi="宋体"/>
        </w:rPr>
        <w:t>为城市空间结构的调整作好铺垫，推动人居环境进一步的优化，已经启动的北部新区以及科技创新城核心区周边是近期建设的重点。</w:t>
      </w:r>
    </w:p>
    <w:p>
      <w:pPr>
        <w:pStyle w:val="131"/>
        <w:spacing w:before="156"/>
        <w:ind w:left="960"/>
        <w:rPr>
          <w:rFonts w:ascii="宋体" w:hAnsi="宋体"/>
        </w:rPr>
      </w:pPr>
      <w:r>
        <w:rPr>
          <w:rFonts w:hint="eastAsia" w:ascii="宋体" w:hAnsi="宋体"/>
        </w:rPr>
        <w:t>（1）</w:t>
      </w:r>
      <w:r>
        <w:rPr>
          <w:rFonts w:hint="eastAsia" w:ascii="Arial" w:hAnsi="Arial"/>
        </w:rPr>
        <w:t>城市空间</w:t>
      </w:r>
      <w:r>
        <w:rPr>
          <w:rFonts w:hint="eastAsia" w:ascii="宋体" w:hAnsi="宋体"/>
        </w:rPr>
        <w:t>发展</w:t>
      </w:r>
    </w:p>
    <w:p>
      <w:pPr>
        <w:spacing w:before="156"/>
        <w:rPr>
          <w:rFonts w:ascii="Arial" w:hAnsi="Arial"/>
        </w:rPr>
      </w:pPr>
      <w:r>
        <w:rPr>
          <w:rFonts w:hint="eastAsia" w:ascii="Arial" w:hAnsi="Arial"/>
        </w:rPr>
        <w:t>构建城市总体空间骨架，加快太原晋中一体化相关设施的建设。</w:t>
      </w:r>
    </w:p>
    <w:p>
      <w:pPr>
        <w:spacing w:before="156"/>
        <w:rPr>
          <w:rFonts w:ascii="Arial" w:hAnsi="Arial"/>
        </w:rPr>
      </w:pPr>
      <w:r>
        <w:rPr>
          <w:rFonts w:hint="eastAsia" w:ascii="Arial" w:hAnsi="Arial"/>
        </w:rPr>
        <w:t>加快北部新城行政、文化以及商务办公中心的建设，完善市政基础设施和社会服务设施；同时加快北部晋中高校新校区以及汽车园区的建设。</w:t>
      </w:r>
    </w:p>
    <w:p>
      <w:pPr>
        <w:spacing w:before="156"/>
        <w:rPr>
          <w:rFonts w:ascii="宋体" w:hAnsi="宋体"/>
        </w:rPr>
      </w:pPr>
      <w:r>
        <w:rPr>
          <w:rFonts w:hint="eastAsia" w:ascii="宋体" w:hAnsi="宋体"/>
        </w:rPr>
        <w:t>优先启动城市西部地区尤其是科技创新城核心区周边、和太原交界地区的空间开发，但应避免污染工业进驻；加强榆次工业园周边的产业发展，将城区中的液压、纺机等装备制造业向该地区集中。</w:t>
      </w:r>
    </w:p>
    <w:p>
      <w:pPr>
        <w:spacing w:before="156"/>
        <w:rPr>
          <w:rFonts w:ascii="宋体" w:hAnsi="宋体"/>
        </w:rPr>
      </w:pPr>
      <w:r>
        <w:rPr>
          <w:rFonts w:hint="eastAsia" w:ascii="宋体" w:hAnsi="宋体"/>
        </w:rPr>
        <w:t>加快晋中站及其周边地区的建设，重点加强北六堡物流园区、商贸中心的建设。着重加强该地区的公共服务设施建设，优化城市西部的空间环境。</w:t>
      </w:r>
    </w:p>
    <w:p>
      <w:pPr>
        <w:spacing w:before="156"/>
        <w:rPr>
          <w:rFonts w:hint="eastAsia" w:ascii="宋体" w:hAnsi="宋体"/>
        </w:rPr>
      </w:pPr>
      <w:r>
        <w:rPr>
          <w:rFonts w:hint="eastAsia" w:ascii="宋体" w:hAnsi="宋体"/>
        </w:rPr>
        <w:t>加快旧城区的环境改善，重点推进潇河生态带的建设；在保护榆次老城历史环境和风貌的前提下，通过商业项目和居住人口的引入，恢复榆次老城的活力。</w:t>
      </w:r>
    </w:p>
    <w:p>
      <w:pPr>
        <w:spacing w:before="156"/>
        <w:rPr>
          <w:rFonts w:hint="eastAsia" w:ascii="宋体" w:hAnsi="宋体" w:eastAsia="宋体"/>
          <w:lang w:val="en-US" w:eastAsia="zh-CN"/>
        </w:rPr>
      </w:pPr>
      <w:r>
        <w:rPr>
          <w:rFonts w:hint="eastAsia" w:ascii="宋体" w:hAnsi="宋体"/>
          <w:lang w:val="en-US" w:eastAsia="zh-CN"/>
        </w:rPr>
        <w:t>启动</w:t>
      </w:r>
      <w:r>
        <w:rPr>
          <w:rFonts w:hint="eastAsia"/>
          <w:color w:val="000000" w:themeColor="text1"/>
          <w14:textFill>
            <w14:solidFill>
              <w14:schemeClr w14:val="tx1"/>
            </w14:solidFill>
          </w14:textFill>
        </w:rPr>
        <w:t>山西综改示范区潇河产业园区</w:t>
      </w:r>
      <w:r>
        <w:rPr>
          <w:rFonts w:hint="eastAsia" w:ascii="宋体" w:hAnsi="宋体"/>
          <w:lang w:val="en-US" w:eastAsia="zh-CN"/>
        </w:rPr>
        <w:t>晋中起步区建设。</w:t>
      </w:r>
    </w:p>
    <w:p>
      <w:pPr>
        <w:pStyle w:val="131"/>
        <w:spacing w:before="156"/>
        <w:ind w:left="960"/>
        <w:rPr>
          <w:rFonts w:ascii="宋体" w:hAnsi="宋体"/>
        </w:rPr>
      </w:pPr>
      <w:r>
        <w:rPr>
          <w:rFonts w:hint="eastAsia" w:ascii="宋体" w:hAnsi="宋体"/>
        </w:rPr>
        <w:t>（2）重大设施建设</w:t>
      </w:r>
    </w:p>
    <w:p>
      <w:pPr>
        <w:spacing w:before="156"/>
        <w:rPr>
          <w:rFonts w:ascii="宋体" w:hAnsi="宋体"/>
        </w:rPr>
      </w:pPr>
      <w:r>
        <w:rPr>
          <w:rFonts w:hint="eastAsia" w:ascii="宋体" w:hAnsi="宋体"/>
        </w:rPr>
        <w:t>在北部新城建设晋中博物馆、晋中图书馆、文化艺术中心、青少年科技中心；在晋中站周边建设商贸中心、会展中心。</w:t>
      </w:r>
    </w:p>
    <w:p>
      <w:pPr>
        <w:spacing w:before="156"/>
        <w:rPr>
          <w:rFonts w:ascii="宋体" w:hAnsi="宋体"/>
        </w:rPr>
      </w:pPr>
      <w:r>
        <w:rPr>
          <w:rFonts w:hint="eastAsia"/>
        </w:rPr>
        <w:t>加快汇通路</w:t>
      </w:r>
      <w:r>
        <w:t>、</w:t>
      </w:r>
      <w:r>
        <w:rPr>
          <w:rFonts w:hint="eastAsia"/>
        </w:rPr>
        <w:t>龙湖街、环城南路、太旧高速改快速路、综合通道和环城东路等六条快速路建设。</w:t>
      </w:r>
    </w:p>
    <w:p>
      <w:pPr>
        <w:pStyle w:val="4"/>
        <w:tabs>
          <w:tab w:val="left" w:pos="993"/>
          <w:tab w:val="clear" w:pos="1260"/>
        </w:tabs>
        <w:spacing w:before="312"/>
        <w:ind w:left="851" w:hanging="834"/>
      </w:pPr>
      <w:r>
        <w:rPr>
          <w:rFonts w:hint="eastAsia"/>
        </w:rPr>
        <w:t>远期</w:t>
      </w:r>
    </w:p>
    <w:p>
      <w:pPr>
        <w:spacing w:before="156"/>
        <w:rPr>
          <w:rFonts w:ascii="宋体" w:hAnsi="宋体"/>
        </w:rPr>
      </w:pPr>
      <w:r>
        <w:rPr>
          <w:rFonts w:hint="eastAsia" w:ascii="宋体" w:hAnsi="宋体"/>
        </w:rPr>
        <w:t>进一步完善城市空间结构，促进太原晋中一体化的空间实施。</w:t>
      </w:r>
    </w:p>
    <w:p>
      <w:pPr>
        <w:spacing w:before="156"/>
        <w:rPr>
          <w:rFonts w:ascii="宋体" w:hAnsi="宋体"/>
        </w:rPr>
      </w:pPr>
      <w:r>
        <w:rPr>
          <w:rFonts w:hint="eastAsia" w:ascii="宋体" w:hAnsi="宋体"/>
        </w:rPr>
        <w:t>进一步改善中心城区内部的空间环境，加快区内公共空间的建设，加强东山以及乌金山地区的生态环境保护，实施地质灾害防护与治理。</w:t>
      </w:r>
    </w:p>
    <w:p>
      <w:pPr>
        <w:spacing w:before="156"/>
        <w:rPr>
          <w:rFonts w:ascii="宋体" w:hAnsi="宋体"/>
        </w:rPr>
      </w:pPr>
      <w:r>
        <w:rPr>
          <w:rFonts w:hint="eastAsia" w:ascii="宋体" w:hAnsi="宋体"/>
        </w:rPr>
        <w:t>加快推进太原晋中一体化的实施，保证晋中、太原之间的空间对接，构建太原都市区功能完善、环境优美的南部新城。</w:t>
      </w:r>
    </w:p>
    <w:p>
      <w:pPr>
        <w:pStyle w:val="3"/>
        <w:spacing w:before="156" w:after="156"/>
        <w:rPr>
          <w:rFonts w:ascii="Arial" w:hAnsi="Arial"/>
        </w:rPr>
      </w:pPr>
      <w:bookmarkStart w:id="335" w:name="_Toc492850132"/>
      <w:r>
        <w:rPr>
          <w:rFonts w:hint="eastAsia" w:ascii="Arial" w:hAnsi="Arial"/>
        </w:rPr>
        <w:t>第十七节中心城区四线划定</w:t>
      </w:r>
      <w:bookmarkEnd w:id="335"/>
    </w:p>
    <w:p>
      <w:pPr>
        <w:pStyle w:val="4"/>
        <w:tabs>
          <w:tab w:val="left" w:pos="993"/>
          <w:tab w:val="clear" w:pos="1260"/>
        </w:tabs>
        <w:spacing w:before="312"/>
        <w:ind w:left="851" w:hanging="834"/>
      </w:pPr>
      <w:bookmarkStart w:id="336" w:name="_Toc156707163"/>
      <w:r>
        <w:rPr>
          <w:rFonts w:hint="eastAsia"/>
        </w:rPr>
        <w:t>城市紫线</w:t>
      </w:r>
      <w:r>
        <w:t>控制</w:t>
      </w:r>
    </w:p>
    <w:p>
      <w:pPr>
        <w:spacing w:before="156"/>
        <w:rPr>
          <w:rFonts w:ascii="宋体" w:hAnsi="宋体"/>
        </w:rPr>
      </w:pPr>
      <w:r>
        <w:rPr>
          <w:rFonts w:hint="eastAsia" w:asciiTheme="minorEastAsia" w:hAnsiTheme="minorEastAsia" w:eastAsiaTheme="minorEastAsia"/>
          <w:b/>
          <w:kern w:val="0"/>
          <w:u w:val="single"/>
        </w:rPr>
        <w:t>中心城区内历史建筑的保护范围为城市紫线范围，紫线范围内应按照《城市紫线管理办法》的要求，严格禁止破坏和影响历史建筑安全与风貌的行为。</w:t>
      </w:r>
    </w:p>
    <w:p>
      <w:pPr>
        <w:pStyle w:val="4"/>
        <w:tabs>
          <w:tab w:val="left" w:pos="993"/>
          <w:tab w:val="clear" w:pos="1260"/>
        </w:tabs>
        <w:spacing w:before="312"/>
        <w:ind w:left="851" w:hanging="834"/>
      </w:pPr>
      <w:r>
        <w:rPr>
          <w:rFonts w:hint="eastAsia"/>
        </w:rPr>
        <w:t>城市绿线控制</w:t>
      </w:r>
    </w:p>
    <w:p>
      <w:pPr>
        <w:spacing w:before="156"/>
        <w:rPr>
          <w:rFonts w:ascii="宋体" w:hAnsi="宋体"/>
          <w:b/>
          <w:u w:val="single"/>
        </w:rPr>
      </w:pPr>
      <w:r>
        <w:rPr>
          <w:rFonts w:hint="eastAsia" w:ascii="Arial" w:hAnsi="Arial"/>
          <w:b/>
          <w:u w:val="single"/>
        </w:rPr>
        <w:t>规划公园绿地、防护绿地、郊野公园、</w:t>
      </w:r>
      <w:r>
        <w:rPr>
          <w:rFonts w:ascii="Arial" w:hAnsi="Arial"/>
          <w:b/>
          <w:u w:val="single"/>
        </w:rPr>
        <w:t>生态绿地</w:t>
      </w:r>
      <w:r>
        <w:rPr>
          <w:rFonts w:hint="eastAsia" w:ascii="Arial" w:hAnsi="Arial"/>
          <w:b/>
          <w:u w:val="single"/>
        </w:rPr>
        <w:t>的范围是城市绿线。城市绿线范围内的用地不得改作他用，不得违反法律法规、强制性标准以及批准的规划进行开发建设。绿线管理按照相关法规条例执行。</w:t>
      </w:r>
    </w:p>
    <w:p>
      <w:pPr>
        <w:pStyle w:val="4"/>
        <w:tabs>
          <w:tab w:val="left" w:pos="993"/>
          <w:tab w:val="clear" w:pos="1260"/>
        </w:tabs>
        <w:spacing w:before="312"/>
        <w:ind w:left="851" w:hanging="834"/>
      </w:pPr>
      <w:r>
        <w:rPr>
          <w:rFonts w:hint="eastAsia"/>
        </w:rPr>
        <w:t>城市蓝线</w:t>
      </w:r>
      <w:r>
        <w:t>控制</w:t>
      </w:r>
    </w:p>
    <w:p>
      <w:pPr>
        <w:spacing w:before="156"/>
        <w:rPr>
          <w:rFonts w:ascii="Arial" w:hAnsi="Arial"/>
          <w:b/>
          <w:u w:val="single"/>
        </w:rPr>
      </w:pPr>
      <w:r>
        <w:rPr>
          <w:rFonts w:hint="eastAsia" w:ascii="Arial" w:hAnsi="Arial"/>
          <w:b/>
          <w:u w:val="single"/>
        </w:rPr>
        <w:t>规划黑河</w:t>
      </w:r>
      <w:r>
        <w:rPr>
          <w:rFonts w:ascii="Arial" w:hAnsi="Arial"/>
          <w:b/>
          <w:u w:val="single"/>
        </w:rPr>
        <w:t>、</w:t>
      </w:r>
      <w:r>
        <w:rPr>
          <w:rFonts w:hint="eastAsia" w:ascii="Arial" w:hAnsi="Arial"/>
          <w:b/>
          <w:u w:val="single"/>
        </w:rPr>
        <w:t>涧河</w:t>
      </w:r>
      <w:r>
        <w:rPr>
          <w:rFonts w:ascii="Arial" w:hAnsi="Arial"/>
          <w:b/>
          <w:u w:val="single"/>
        </w:rPr>
        <w:t>、潇河</w:t>
      </w:r>
      <w:r>
        <w:rPr>
          <w:rFonts w:hint="eastAsia" w:ascii="Arial" w:hAnsi="Arial"/>
          <w:b/>
          <w:u w:val="single"/>
        </w:rPr>
        <w:t>水系</w:t>
      </w:r>
      <w:r>
        <w:rPr>
          <w:rFonts w:ascii="Arial" w:hAnsi="Arial"/>
          <w:b/>
          <w:u w:val="single"/>
        </w:rPr>
        <w:t>的河堤线以内</w:t>
      </w:r>
      <w:r>
        <w:rPr>
          <w:rFonts w:hint="eastAsia" w:ascii="Arial" w:hAnsi="Arial"/>
          <w:b/>
          <w:u w:val="single"/>
        </w:rPr>
        <w:t>为城市</w:t>
      </w:r>
      <w:r>
        <w:rPr>
          <w:rFonts w:ascii="Arial" w:hAnsi="Arial"/>
          <w:b/>
          <w:u w:val="single"/>
        </w:rPr>
        <w:t>蓝线控制范围。其建设治理</w:t>
      </w:r>
      <w:r>
        <w:rPr>
          <w:rFonts w:hint="eastAsia" w:ascii="Arial" w:hAnsi="Arial"/>
          <w:b/>
          <w:u w:val="single"/>
        </w:rPr>
        <w:t>与</w:t>
      </w:r>
      <w:r>
        <w:rPr>
          <w:rFonts w:ascii="Arial" w:hAnsi="Arial"/>
          <w:b/>
          <w:u w:val="single"/>
        </w:rPr>
        <w:t>周边区域开发建设要与水体的功能相适应。蓝线</w:t>
      </w:r>
      <w:r>
        <w:rPr>
          <w:rFonts w:hint="eastAsia" w:ascii="Arial" w:hAnsi="Arial"/>
          <w:b/>
          <w:u w:val="single"/>
        </w:rPr>
        <w:t>管理</w:t>
      </w:r>
      <w:r>
        <w:rPr>
          <w:rFonts w:ascii="Arial" w:hAnsi="Arial"/>
          <w:b/>
          <w:u w:val="single"/>
        </w:rPr>
        <w:t>按照《</w:t>
      </w:r>
      <w:r>
        <w:rPr>
          <w:rFonts w:hint="eastAsia" w:ascii="Arial" w:hAnsi="Arial"/>
          <w:b/>
          <w:u w:val="single"/>
        </w:rPr>
        <w:t>城市</w:t>
      </w:r>
      <w:r>
        <w:rPr>
          <w:rFonts w:ascii="Arial" w:hAnsi="Arial"/>
          <w:b/>
          <w:u w:val="single"/>
        </w:rPr>
        <w:t>蓝线管理办法》</w:t>
      </w:r>
      <w:r>
        <w:rPr>
          <w:rFonts w:hint="eastAsia" w:ascii="Arial" w:hAnsi="Arial"/>
          <w:b/>
          <w:u w:val="single"/>
        </w:rPr>
        <w:t>执行</w:t>
      </w:r>
      <w:r>
        <w:rPr>
          <w:rFonts w:ascii="Arial" w:hAnsi="Arial"/>
          <w:b/>
          <w:u w:val="single"/>
        </w:rPr>
        <w:t>。</w:t>
      </w:r>
    </w:p>
    <w:p>
      <w:pPr>
        <w:pStyle w:val="4"/>
        <w:tabs>
          <w:tab w:val="left" w:pos="993"/>
          <w:tab w:val="clear" w:pos="1260"/>
        </w:tabs>
        <w:spacing w:before="312"/>
        <w:ind w:left="851" w:hanging="834"/>
      </w:pPr>
      <w:r>
        <w:rPr>
          <w:rFonts w:hint="eastAsia"/>
        </w:rPr>
        <w:t>城市黄线控制</w:t>
      </w:r>
    </w:p>
    <w:p>
      <w:pPr>
        <w:spacing w:before="156"/>
        <w:rPr>
          <w:rFonts w:ascii="Arial" w:hAnsi="Arial"/>
          <w:b/>
          <w:u w:val="single"/>
        </w:rPr>
      </w:pPr>
      <w:r>
        <w:rPr>
          <w:rFonts w:hint="eastAsia" w:ascii="Arial" w:hAnsi="Arial"/>
          <w:b/>
          <w:u w:val="single"/>
        </w:rPr>
        <w:t>规划划定</w:t>
      </w:r>
      <w:r>
        <w:rPr>
          <w:rFonts w:ascii="Arial" w:hAnsi="Arial"/>
          <w:b/>
          <w:u w:val="single"/>
        </w:rPr>
        <w:t>城市重要的交通设施、供水设施、排水设施、环境卫生设施、供燃气设施、供热设施、供电设施、通信设施、消防设施、防洪设施、抗震防灾设施等的控制界线为城市黄线，城市黄线内用地</w:t>
      </w:r>
      <w:r>
        <w:rPr>
          <w:rFonts w:hint="eastAsia" w:ascii="Arial" w:hAnsi="Arial"/>
          <w:b/>
          <w:u w:val="single"/>
        </w:rPr>
        <w:t>依据</w:t>
      </w:r>
      <w:r>
        <w:rPr>
          <w:rFonts w:ascii="Arial" w:hAnsi="Arial"/>
          <w:b/>
          <w:u w:val="single"/>
        </w:rPr>
        <w:t>《</w:t>
      </w:r>
      <w:r>
        <w:rPr>
          <w:rFonts w:hint="eastAsia" w:ascii="Arial" w:hAnsi="Arial"/>
          <w:b/>
          <w:u w:val="single"/>
        </w:rPr>
        <w:t>城市</w:t>
      </w:r>
      <w:r>
        <w:rPr>
          <w:rFonts w:ascii="Arial" w:hAnsi="Arial"/>
          <w:b/>
          <w:u w:val="single"/>
        </w:rPr>
        <w:t>黄线管理办法》</w:t>
      </w:r>
      <w:r>
        <w:rPr>
          <w:rFonts w:hint="eastAsia" w:ascii="Arial" w:hAnsi="Arial"/>
          <w:b/>
          <w:u w:val="single"/>
        </w:rPr>
        <w:t>进行</w:t>
      </w:r>
      <w:r>
        <w:rPr>
          <w:rFonts w:ascii="Arial" w:hAnsi="Arial"/>
          <w:b/>
          <w:u w:val="single"/>
        </w:rPr>
        <w:t>管理。</w:t>
      </w:r>
    </w:p>
    <w:bookmarkEnd w:id="336"/>
    <w:p>
      <w:pPr>
        <w:pStyle w:val="2"/>
        <w:spacing w:before="156"/>
        <w:ind w:left="1134" w:hanging="600"/>
        <w:sectPr>
          <w:pgSz w:w="11906" w:h="16838"/>
          <w:pgMar w:top="1440" w:right="1800" w:bottom="1440" w:left="1800" w:header="851" w:footer="992" w:gutter="0"/>
          <w:cols w:space="425" w:num="1"/>
          <w:docGrid w:type="lines" w:linePitch="312" w:charSpace="0"/>
        </w:sectPr>
      </w:pPr>
    </w:p>
    <w:p>
      <w:pPr>
        <w:pStyle w:val="2"/>
        <w:spacing w:before="156"/>
        <w:ind w:left="1134" w:hanging="600"/>
      </w:pPr>
      <w:bookmarkStart w:id="337" w:name="_Toc492850133"/>
      <w:r>
        <w:rPr>
          <w:rFonts w:hint="eastAsia"/>
        </w:rPr>
        <w:t>规划实施</w:t>
      </w:r>
      <w:bookmarkEnd w:id="337"/>
    </w:p>
    <w:p>
      <w:pPr>
        <w:pStyle w:val="4"/>
        <w:tabs>
          <w:tab w:val="left" w:pos="993"/>
          <w:tab w:val="clear" w:pos="1260"/>
        </w:tabs>
        <w:spacing w:before="312"/>
        <w:ind w:left="851" w:hanging="834"/>
      </w:pPr>
      <w:bookmarkStart w:id="338" w:name="_Toc277460667"/>
      <w:bookmarkStart w:id="339" w:name="_Toc277460981"/>
      <w:bookmarkStart w:id="340" w:name="_Toc277460824"/>
      <w:bookmarkStart w:id="341" w:name="_Toc194914868"/>
      <w:bookmarkStart w:id="342" w:name="_Toc275418583"/>
      <w:r>
        <w:rPr>
          <w:rFonts w:hint="eastAsia"/>
        </w:rPr>
        <w:t>建立太原都市区的区域协作机制</w:t>
      </w:r>
      <w:bookmarkEnd w:id="338"/>
      <w:bookmarkEnd w:id="339"/>
      <w:bookmarkEnd w:id="340"/>
      <w:bookmarkEnd w:id="341"/>
      <w:bookmarkEnd w:id="342"/>
    </w:p>
    <w:p>
      <w:pPr>
        <w:spacing w:before="156"/>
        <w:rPr>
          <w:rFonts w:ascii="宋体" w:hAnsi="宋体"/>
        </w:rPr>
      </w:pPr>
      <w:r>
        <w:rPr>
          <w:rFonts w:hint="eastAsia" w:ascii="宋体" w:hAnsi="宋体"/>
        </w:rPr>
        <w:t>为了推动太原都市区的健康发展，落实区域协作战略，应建立太原都市区的区域协作机制。</w:t>
      </w:r>
    </w:p>
    <w:p>
      <w:pPr>
        <w:spacing w:before="156"/>
        <w:rPr>
          <w:rFonts w:ascii="宋体" w:hAnsi="宋体"/>
        </w:rPr>
      </w:pPr>
      <w:r>
        <w:rPr>
          <w:rFonts w:hint="eastAsia" w:ascii="宋体" w:hAnsi="宋体"/>
        </w:rPr>
        <w:t>在协作机制的起步阶段，应充分发挥省级政府的积极作用，成立由省政府牵头、各利益相关方积极参与的区域协调机构，理顺关系，强化都市区在全省发展、统筹城乡中的带动作用。</w:t>
      </w:r>
    </w:p>
    <w:p>
      <w:pPr>
        <w:pStyle w:val="4"/>
        <w:tabs>
          <w:tab w:val="left" w:pos="993"/>
          <w:tab w:val="clear" w:pos="1260"/>
        </w:tabs>
        <w:spacing w:before="312"/>
        <w:ind w:left="851" w:hanging="834"/>
      </w:pPr>
      <w:r>
        <w:rPr>
          <w:rFonts w:hint="eastAsia"/>
        </w:rPr>
        <w:t>加强榆次与太谷的发展协调</w:t>
      </w:r>
    </w:p>
    <w:p>
      <w:pPr>
        <w:spacing w:before="156"/>
      </w:pPr>
      <w:r>
        <w:rPr>
          <w:rFonts w:hint="eastAsia"/>
        </w:rPr>
        <w:t>由市政府统筹建立榆次、太谷发展协调机制，重点加强两区县在交通、市政基础设施建设以及工业区发展的协作。</w:t>
      </w:r>
    </w:p>
    <w:p>
      <w:pPr>
        <w:spacing w:before="156"/>
      </w:pPr>
      <w:r>
        <w:rPr>
          <w:rFonts w:hint="eastAsia"/>
        </w:rPr>
        <w:t>适时启动太谷县撤县设区工作，增强晋中中心城市的资源配置能力，加强晋中中心城市对太原都市区乃至山西综改转型的支撑作用，并在晋中各层次规划中，应将太谷纳入规划范围进行考虑。</w:t>
      </w:r>
    </w:p>
    <w:p>
      <w:pPr>
        <w:pStyle w:val="4"/>
        <w:tabs>
          <w:tab w:val="left" w:pos="993"/>
          <w:tab w:val="clear" w:pos="1260"/>
        </w:tabs>
        <w:spacing w:before="312"/>
        <w:ind w:left="851" w:hanging="834"/>
      </w:pPr>
      <w:bookmarkStart w:id="343" w:name="_Toc277460982"/>
      <w:bookmarkStart w:id="344" w:name="_Toc275418584"/>
      <w:bookmarkStart w:id="345" w:name="_Toc277460825"/>
      <w:bookmarkStart w:id="346" w:name="_Toc277460668"/>
      <w:r>
        <w:rPr>
          <w:rFonts w:hint="eastAsia"/>
        </w:rPr>
        <w:t>完善规划编制，健全规划法制建设，加强规划管理</w:t>
      </w:r>
      <w:bookmarkEnd w:id="343"/>
      <w:bookmarkEnd w:id="344"/>
      <w:bookmarkEnd w:id="345"/>
      <w:bookmarkEnd w:id="346"/>
    </w:p>
    <w:p>
      <w:pPr>
        <w:spacing w:before="156"/>
        <w:rPr>
          <w:rFonts w:ascii="宋体" w:hAnsi="宋体"/>
        </w:rPr>
      </w:pPr>
      <w:r>
        <w:rPr>
          <w:rFonts w:hint="eastAsia" w:ascii="宋体" w:hAnsi="宋体"/>
        </w:rPr>
        <w:t>完善规划体系，开展下一层次的各项规划，尤其是开展并滚动编制城市近期建设规划，明确近期实施总体规划的发展重点和建设时序。</w:t>
      </w:r>
    </w:p>
    <w:p>
      <w:pPr>
        <w:spacing w:before="156"/>
        <w:rPr>
          <w:rFonts w:ascii="宋体" w:hAnsi="宋体"/>
        </w:rPr>
      </w:pPr>
      <w:r>
        <w:rPr>
          <w:rFonts w:hint="eastAsia" w:ascii="宋体" w:hAnsi="宋体"/>
        </w:rPr>
        <w:t>加强城市规划法规体系建设，健全规划实施的法制体系，进一步完善城市规划管理的法规、规范和技术标准。</w:t>
      </w:r>
    </w:p>
    <w:p>
      <w:pPr>
        <w:spacing w:before="156"/>
        <w:rPr>
          <w:rFonts w:ascii="宋体" w:hAnsi="宋体"/>
        </w:rPr>
      </w:pPr>
      <w:r>
        <w:rPr>
          <w:rFonts w:hint="eastAsia" w:ascii="宋体" w:hAnsi="宋体"/>
        </w:rPr>
        <w:t>各类各项建设都应纳入城市规划统一管理，保证城市各项建设活动能够按照总体规划协调、有序地进行。</w:t>
      </w:r>
    </w:p>
    <w:p>
      <w:pPr>
        <w:pStyle w:val="4"/>
        <w:tabs>
          <w:tab w:val="left" w:pos="993"/>
          <w:tab w:val="clear" w:pos="1260"/>
        </w:tabs>
        <w:spacing w:before="312"/>
        <w:ind w:left="851" w:hanging="834"/>
      </w:pPr>
      <w:bookmarkStart w:id="347" w:name="_Toc277460826"/>
      <w:bookmarkStart w:id="348" w:name="_Toc277460669"/>
      <w:bookmarkStart w:id="349" w:name="_Toc277460983"/>
      <w:bookmarkStart w:id="350" w:name="_Toc275418585"/>
      <w:r>
        <w:rPr>
          <w:rFonts w:hint="eastAsia"/>
        </w:rPr>
        <w:t>落实公众参与，加强规划宣传</w:t>
      </w:r>
      <w:bookmarkEnd w:id="347"/>
      <w:bookmarkEnd w:id="348"/>
      <w:bookmarkEnd w:id="349"/>
      <w:bookmarkEnd w:id="350"/>
    </w:p>
    <w:p>
      <w:pPr>
        <w:spacing w:before="156"/>
        <w:rPr>
          <w:rFonts w:ascii="宋体" w:hAnsi="宋体"/>
        </w:rPr>
      </w:pPr>
      <w:r>
        <w:rPr>
          <w:rFonts w:hint="eastAsia" w:ascii="宋体" w:hAnsi="宋体"/>
        </w:rPr>
        <w:t>切实落实公众参与原则，推进公众参与的法制化和制度化，让公众通过法定的程序和渠道有效地参与规划实施的决策和监督。加强对城市规划的宣传，提高全社会对总体规划及实施重要性的认识，增强规划意识，提高维护和执行规划的自觉性，共同推进规划的实施。</w:t>
      </w:r>
    </w:p>
    <w:p>
      <w:pPr>
        <w:pStyle w:val="4"/>
        <w:tabs>
          <w:tab w:val="left" w:pos="993"/>
          <w:tab w:val="clear" w:pos="1260"/>
        </w:tabs>
        <w:spacing w:before="312"/>
        <w:ind w:left="851" w:hanging="834"/>
      </w:pPr>
      <w:bookmarkStart w:id="351" w:name="_Toc191124184"/>
      <w:bookmarkStart w:id="352" w:name="_Toc277460827"/>
      <w:bookmarkStart w:id="353" w:name="_Toc275418586"/>
      <w:bookmarkStart w:id="354" w:name="_Toc277460984"/>
      <w:bookmarkStart w:id="355" w:name="_Toc191087298"/>
      <w:bookmarkStart w:id="356" w:name="_Toc277460670"/>
      <w:r>
        <w:rPr>
          <w:rFonts w:hint="eastAsia"/>
        </w:rPr>
        <w:t>健全规划评价监控、监督检查机制，完善规划决策机制</w:t>
      </w:r>
      <w:bookmarkEnd w:id="351"/>
      <w:bookmarkEnd w:id="352"/>
      <w:bookmarkEnd w:id="353"/>
      <w:bookmarkEnd w:id="354"/>
      <w:bookmarkEnd w:id="355"/>
      <w:bookmarkEnd w:id="356"/>
    </w:p>
    <w:p>
      <w:pPr>
        <w:spacing w:before="156"/>
        <w:rPr>
          <w:rFonts w:ascii="宋体" w:hAnsi="宋体"/>
        </w:rPr>
      </w:pPr>
      <w:r>
        <w:rPr>
          <w:rFonts w:hint="eastAsia" w:ascii="宋体" w:hAnsi="宋体"/>
        </w:rPr>
        <w:t>建立政府对总体规划实施评价监控机制。通过对人口、用地、交通、环境、资源等因素的发展变化进行实时监控和评价，对规划进行校核，确保政府对规划及其实施进行动态调控。</w:t>
      </w:r>
    </w:p>
    <w:p>
      <w:pPr>
        <w:spacing w:before="156"/>
        <w:rPr>
          <w:rFonts w:ascii="宋体" w:hAnsi="宋体"/>
        </w:rPr>
      </w:pPr>
      <w:r>
        <w:rPr>
          <w:rFonts w:hint="eastAsia" w:ascii="宋体" w:hAnsi="宋体"/>
        </w:rPr>
        <w:t>在完善规划审批制度和规划公开的基础上，建立健全城市规划的监督检查制度。各级政府要积极发挥法律监督、行政监督、舆论监督和公众监督的作用，认真查处和纠正各种违反规划的行为，加大对违法建设行为的整治力度。发挥各级人民代表大会、政协、各基层社区组织以及社会团体、公众在城市规划实施全过程中的监督作用，通过多种形式建立起对城市规划实施进行社会监督的工作机制。</w:t>
      </w:r>
    </w:p>
    <w:p>
      <w:pPr>
        <w:spacing w:before="156"/>
        <w:rPr>
          <w:rFonts w:ascii="宋体" w:hAnsi="宋体"/>
        </w:rPr>
      </w:pPr>
      <w:r>
        <w:rPr>
          <w:rFonts w:hint="eastAsia" w:ascii="宋体" w:hAnsi="宋体"/>
        </w:rPr>
        <w:t>完善规划决策体制和制度，建立重大问题的政策研究机制和专家论证制度，以及重大建设项目公示与听证制度，提高决策的科学性。</w:t>
      </w:r>
    </w:p>
    <w:p>
      <w:pPr>
        <w:pStyle w:val="2"/>
        <w:numPr>
          <w:ilvl w:val="0"/>
          <w:numId w:val="0"/>
        </w:numPr>
        <w:spacing w:before="156"/>
        <w:ind w:left="1134"/>
        <w:sectPr>
          <w:pgSz w:w="11906" w:h="16838"/>
          <w:pgMar w:top="1440" w:right="1800" w:bottom="1440" w:left="1800" w:header="851" w:footer="992" w:gutter="0"/>
          <w:cols w:space="425" w:num="1"/>
          <w:docGrid w:type="lines" w:linePitch="312" w:charSpace="0"/>
        </w:sectPr>
      </w:pPr>
    </w:p>
    <w:p>
      <w:pPr>
        <w:pStyle w:val="2"/>
        <w:spacing w:before="156"/>
        <w:ind w:left="1134" w:hanging="600"/>
      </w:pPr>
      <w:bookmarkStart w:id="357" w:name="_Toc492850134"/>
      <w:r>
        <w:rPr>
          <w:rFonts w:hint="eastAsia"/>
        </w:rPr>
        <w:t>附则</w:t>
      </w:r>
      <w:bookmarkEnd w:id="357"/>
    </w:p>
    <w:p>
      <w:pPr>
        <w:pStyle w:val="4"/>
        <w:tabs>
          <w:tab w:val="left" w:pos="993"/>
          <w:tab w:val="clear" w:pos="1260"/>
        </w:tabs>
        <w:spacing w:before="312"/>
        <w:ind w:left="851" w:hanging="834"/>
      </w:pPr>
      <w:r>
        <w:rPr>
          <w:rFonts w:hint="eastAsia"/>
        </w:rPr>
        <w:t>规划文件组成</w:t>
      </w:r>
    </w:p>
    <w:p>
      <w:pPr>
        <w:spacing w:before="156"/>
        <w:rPr>
          <w:rFonts w:ascii="宋体" w:hAnsi="宋体"/>
        </w:rPr>
      </w:pPr>
      <w:r>
        <w:rPr>
          <w:rFonts w:hint="eastAsia" w:ascii="宋体" w:hAnsi="宋体"/>
        </w:rPr>
        <w:t>本规划文件由文本、图集及附件（说明书、专题研究报告）三部分组成。文本和图集具有法律效力。</w:t>
      </w:r>
    </w:p>
    <w:p>
      <w:pPr>
        <w:pStyle w:val="4"/>
        <w:tabs>
          <w:tab w:val="left" w:pos="993"/>
          <w:tab w:val="clear" w:pos="1260"/>
        </w:tabs>
        <w:spacing w:before="312"/>
        <w:ind w:left="851" w:hanging="834"/>
      </w:pPr>
      <w:r>
        <w:rPr>
          <w:rFonts w:hint="eastAsia"/>
        </w:rPr>
        <w:t>规划实施主体</w:t>
      </w:r>
    </w:p>
    <w:p>
      <w:pPr>
        <w:spacing w:before="156"/>
        <w:rPr>
          <w:rFonts w:ascii="宋体" w:hAnsi="宋体"/>
        </w:rPr>
      </w:pPr>
      <w:r>
        <w:rPr>
          <w:rFonts w:hint="eastAsia" w:ascii="宋体" w:hAnsi="宋体"/>
        </w:rPr>
        <w:t>该规划经由山西省人民政府批准，由晋中市人民政府负责组织实施。</w:t>
      </w:r>
    </w:p>
    <w:p>
      <w:pPr>
        <w:pStyle w:val="4"/>
        <w:tabs>
          <w:tab w:val="left" w:pos="993"/>
          <w:tab w:val="clear" w:pos="1260"/>
        </w:tabs>
        <w:spacing w:before="312"/>
        <w:ind w:left="851" w:hanging="834"/>
      </w:pPr>
      <w:r>
        <w:rPr>
          <w:rFonts w:hint="eastAsia"/>
        </w:rPr>
        <w:t>规划的解释权与修改程序</w:t>
      </w:r>
    </w:p>
    <w:p>
      <w:pPr>
        <w:spacing w:before="156"/>
        <w:rPr>
          <w:rFonts w:ascii="宋体" w:hAnsi="宋体"/>
        </w:rPr>
      </w:pPr>
      <w:r>
        <w:rPr>
          <w:rFonts w:hint="eastAsia" w:ascii="宋体" w:hAnsi="宋体"/>
        </w:rPr>
        <w:t>本规划的解释权属于晋中市人民政府城市规划行政主管部门。本规划一经批准，任何单位和个人未经法定程序无权变更。</w:t>
      </w:r>
    </w:p>
    <w:p>
      <w:pPr>
        <w:spacing w:before="156"/>
        <w:rPr>
          <w:rFonts w:ascii="宋体" w:hAnsi="宋体"/>
        </w:rPr>
      </w:pPr>
      <w:r>
        <w:rPr>
          <w:rFonts w:hint="eastAsia" w:ascii="宋体" w:hAnsi="宋体"/>
        </w:rPr>
        <w:t>有下列情形之一的，晋中市人民政府方可按照规定的权限和程序修改本规划：（一）上级人民政府制定的城乡规划发生变更，提出修改规划要求的；（二）行政区划调整确需修改规划的；（三）因重大工程建设确需修改规划的；（四）经评估确需修改规划的；（五）城乡规划的审批机关认为应当修改规划的其他情形。</w:t>
      </w:r>
    </w:p>
    <w:p>
      <w:pPr>
        <w:spacing w:before="156"/>
        <w:rPr>
          <w:rFonts w:ascii="宋体" w:hAnsi="宋体"/>
        </w:rPr>
      </w:pPr>
      <w:r>
        <w:rPr>
          <w:rFonts w:hint="eastAsia" w:ascii="宋体" w:hAnsi="宋体"/>
        </w:rPr>
        <w:t>规划修改前，市政府应当对本规划的实施情况进行总结，并向原审批机关报告；修改涉及强制性内容的，应当先向原审批机关提出专题报告，经同意后方可修改规划。</w:t>
      </w:r>
    </w:p>
    <w:p>
      <w:pPr>
        <w:pStyle w:val="4"/>
        <w:tabs>
          <w:tab w:val="left" w:pos="993"/>
          <w:tab w:val="clear" w:pos="1260"/>
        </w:tabs>
        <w:spacing w:before="312"/>
        <w:ind w:left="851" w:hanging="834"/>
      </w:pPr>
      <w:r>
        <w:rPr>
          <w:rFonts w:hint="eastAsia"/>
        </w:rPr>
        <w:t>规划生效日期</w:t>
      </w:r>
    </w:p>
    <w:p>
      <w:pPr>
        <w:spacing w:before="156"/>
        <w:rPr>
          <w:rFonts w:ascii="宋体" w:hAnsi="宋体"/>
        </w:rPr>
      </w:pPr>
      <w:r>
        <w:rPr>
          <w:rFonts w:hint="eastAsia" w:ascii="宋体" w:hAnsi="宋体"/>
        </w:rPr>
        <w:t>本规划自山西省人民政府批准之日起生效，《晋中市城市总体规划</w:t>
      </w:r>
      <w:r>
        <w:rPr>
          <w:rFonts w:hint="default" w:ascii="Times New Roman" w:hAnsi="Times New Roman" w:cs="Times New Roman"/>
        </w:rPr>
        <w:t>（2002—2020年）</w:t>
      </w:r>
      <w:r>
        <w:rPr>
          <w:rFonts w:hint="eastAsia" w:ascii="宋体" w:hAnsi="宋体"/>
        </w:rPr>
        <w:t>》同时废止。</w:t>
      </w:r>
    </w:p>
    <w:p>
      <w:pPr>
        <w:spacing w:before="156"/>
        <w:sectPr>
          <w:pgSz w:w="11906" w:h="16838"/>
          <w:pgMar w:top="1440" w:right="1800" w:bottom="1440" w:left="1800" w:header="851" w:footer="992" w:gutter="0"/>
          <w:cols w:space="425" w:num="1"/>
          <w:docGrid w:type="lines" w:linePitch="312" w:charSpace="0"/>
        </w:sectPr>
      </w:pPr>
    </w:p>
    <w:p>
      <w:pPr>
        <w:pStyle w:val="2"/>
        <w:numPr>
          <w:ilvl w:val="0"/>
          <w:numId w:val="0"/>
        </w:numPr>
        <w:spacing w:before="156" w:after="120"/>
      </w:pPr>
      <w:bookmarkStart w:id="358" w:name="_Toc492850135"/>
      <w:r>
        <w:rPr>
          <w:rFonts w:hint="eastAsia"/>
        </w:rPr>
        <w:t>附录</w:t>
      </w:r>
      <w:bookmarkEnd w:id="358"/>
      <w:bookmarkStart w:id="359" w:name="_Toc263063663"/>
    </w:p>
    <w:p>
      <w:pPr>
        <w:pStyle w:val="3"/>
        <w:spacing w:before="156" w:after="156"/>
        <w:rPr>
          <w:rFonts w:ascii="Arial" w:hAnsi="Arial"/>
        </w:rPr>
      </w:pPr>
      <w:bookmarkStart w:id="360" w:name="_Toc492850136"/>
      <w:bookmarkStart w:id="361" w:name="_Toc441748604"/>
      <w:r>
        <w:rPr>
          <w:rFonts w:hint="eastAsia" w:ascii="Arial" w:hAnsi="Arial"/>
        </w:rPr>
        <w:t>附录一：省政府办公厅关于晋中市城市总体规划修改的复函</w:t>
      </w:r>
      <w:bookmarkEnd w:id="360"/>
      <w:bookmarkEnd w:id="361"/>
    </w:p>
    <w:p>
      <w:pPr>
        <w:pStyle w:val="134"/>
        <w:spacing w:before="156"/>
      </w:pPr>
      <w:r>
        <w:rPr>
          <w:rFonts w:hint="eastAsia"/>
        </w:rPr>
        <w:drawing>
          <wp:inline distT="0" distB="0" distL="0" distR="0">
            <wp:extent cx="5267325" cy="7000875"/>
            <wp:effectExtent l="19050" t="0" r="9525" b="0"/>
            <wp:docPr id="2801" name="图片 2801" descr="批复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 name="图片 2801" descr="批复函1"/>
                    <pic:cNvPicPr>
                      <a:picLocks noChangeAspect="1" noChangeArrowheads="1"/>
                    </pic:cNvPicPr>
                  </pic:nvPicPr>
                  <pic:blipFill>
                    <a:blip r:embed="rId11" cstate="print"/>
                    <a:srcRect/>
                    <a:stretch>
                      <a:fillRect/>
                    </a:stretch>
                  </pic:blipFill>
                  <pic:spPr>
                    <a:xfrm>
                      <a:off x="0" y="0"/>
                      <a:ext cx="5267325" cy="7000875"/>
                    </a:xfrm>
                    <a:prstGeom prst="rect">
                      <a:avLst/>
                    </a:prstGeom>
                    <a:noFill/>
                    <a:ln w="9525">
                      <a:noFill/>
                      <a:miter lim="800000"/>
                      <a:headEnd/>
                      <a:tailEnd/>
                    </a:ln>
                  </pic:spPr>
                </pic:pic>
              </a:graphicData>
            </a:graphic>
          </wp:inline>
        </w:drawing>
      </w:r>
    </w:p>
    <w:p>
      <w:pPr>
        <w:spacing w:before="156"/>
      </w:pPr>
    </w:p>
    <w:p>
      <w:pPr>
        <w:pStyle w:val="134"/>
        <w:spacing w:before="156"/>
        <w:sectPr>
          <w:pgSz w:w="11906" w:h="16838"/>
          <w:pgMar w:top="1440" w:right="1800" w:bottom="1440" w:left="1800" w:header="851" w:footer="992" w:gutter="0"/>
          <w:cols w:space="425" w:num="1"/>
          <w:docGrid w:type="lines" w:linePitch="312" w:charSpace="0"/>
        </w:sectPr>
      </w:pPr>
      <w:r>
        <w:rPr>
          <w:rFonts w:hint="eastAsia"/>
        </w:rPr>
        <w:drawing>
          <wp:inline distT="0" distB="0" distL="0" distR="0">
            <wp:extent cx="5267325" cy="7915275"/>
            <wp:effectExtent l="19050" t="0" r="9525" b="0"/>
            <wp:docPr id="2802" name="图片 2802" descr="批复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 name="图片 2802" descr="批复函2"/>
                    <pic:cNvPicPr>
                      <a:picLocks noChangeAspect="1" noChangeArrowheads="1"/>
                    </pic:cNvPicPr>
                  </pic:nvPicPr>
                  <pic:blipFill>
                    <a:blip r:embed="rId12" cstate="print"/>
                    <a:srcRect/>
                    <a:stretch>
                      <a:fillRect/>
                    </a:stretch>
                  </pic:blipFill>
                  <pic:spPr>
                    <a:xfrm>
                      <a:off x="0" y="0"/>
                      <a:ext cx="5267325" cy="7915275"/>
                    </a:xfrm>
                    <a:prstGeom prst="rect">
                      <a:avLst/>
                    </a:prstGeom>
                    <a:noFill/>
                    <a:ln w="9525">
                      <a:noFill/>
                      <a:miter lim="800000"/>
                      <a:headEnd/>
                      <a:tailEnd/>
                    </a:ln>
                  </pic:spPr>
                </pic:pic>
              </a:graphicData>
            </a:graphic>
          </wp:inline>
        </w:drawing>
      </w:r>
    </w:p>
    <w:p>
      <w:pPr>
        <w:pStyle w:val="3"/>
        <w:spacing w:before="156" w:after="156"/>
        <w:rPr>
          <w:rFonts w:ascii="Arial" w:hAnsi="Arial"/>
        </w:rPr>
      </w:pPr>
      <w:bookmarkStart w:id="362" w:name="_Toc441748605"/>
      <w:bookmarkStart w:id="363" w:name="_Toc492850137"/>
      <w:r>
        <w:rPr>
          <w:rFonts w:hint="eastAsia" w:ascii="Arial" w:hAnsi="Arial"/>
        </w:rPr>
        <w:t>附录二：山西省住建厅关于晋中市城市总体规划纲要审查意见</w:t>
      </w:r>
      <w:bookmarkEnd w:id="362"/>
      <w:bookmarkEnd w:id="363"/>
    </w:p>
    <w:p>
      <w:pPr>
        <w:pStyle w:val="131"/>
        <w:spacing w:before="156" w:after="156"/>
        <w:ind w:left="360" w:firstLine="0" w:firstLineChars="0"/>
      </w:pPr>
      <w:r>
        <w:rPr>
          <w:rFonts w:hint="eastAsia"/>
        </w:rPr>
        <w:drawing>
          <wp:inline distT="0" distB="0" distL="0" distR="0">
            <wp:extent cx="5267325" cy="7248525"/>
            <wp:effectExtent l="19050" t="0" r="9525" b="0"/>
            <wp:docPr id="2803" name="图片 280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 name="图片 2803" descr="未标题-1"/>
                    <pic:cNvPicPr>
                      <a:picLocks noChangeAspect="1" noChangeArrowheads="1"/>
                    </pic:cNvPicPr>
                  </pic:nvPicPr>
                  <pic:blipFill>
                    <a:blip r:embed="rId13" cstate="print"/>
                    <a:srcRect/>
                    <a:stretch>
                      <a:fillRect/>
                    </a:stretch>
                  </pic:blipFill>
                  <pic:spPr>
                    <a:xfrm>
                      <a:off x="0" y="0"/>
                      <a:ext cx="5267325" cy="7248525"/>
                    </a:xfrm>
                    <a:prstGeom prst="rect">
                      <a:avLst/>
                    </a:prstGeom>
                    <a:noFill/>
                    <a:ln w="9525">
                      <a:noFill/>
                      <a:miter lim="800000"/>
                      <a:headEnd/>
                      <a:tailEnd/>
                    </a:ln>
                  </pic:spPr>
                </pic:pic>
              </a:graphicData>
            </a:graphic>
          </wp:inline>
        </w:drawing>
      </w:r>
    </w:p>
    <w:p>
      <w:pPr>
        <w:pStyle w:val="131"/>
        <w:spacing w:before="156" w:after="156"/>
        <w:ind w:left="360" w:firstLine="0" w:firstLineChars="0"/>
      </w:pPr>
      <w:r>
        <w:drawing>
          <wp:inline distT="0" distB="0" distL="0" distR="0">
            <wp:extent cx="5267325" cy="7248525"/>
            <wp:effectExtent l="19050" t="0" r="9525" b="0"/>
            <wp:docPr id="2804" name="图片 280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 name="图片 2804" descr="未标题-2"/>
                    <pic:cNvPicPr>
                      <a:picLocks noChangeAspect="1" noChangeArrowheads="1"/>
                    </pic:cNvPicPr>
                  </pic:nvPicPr>
                  <pic:blipFill>
                    <a:blip r:embed="rId14" cstate="print"/>
                    <a:srcRect/>
                    <a:stretch>
                      <a:fillRect/>
                    </a:stretch>
                  </pic:blipFill>
                  <pic:spPr>
                    <a:xfrm>
                      <a:off x="0" y="0"/>
                      <a:ext cx="5267325" cy="7248525"/>
                    </a:xfrm>
                    <a:prstGeom prst="rect">
                      <a:avLst/>
                    </a:prstGeom>
                    <a:noFill/>
                    <a:ln w="9525">
                      <a:noFill/>
                      <a:miter lim="800000"/>
                      <a:headEnd/>
                      <a:tailEnd/>
                    </a:ln>
                  </pic:spPr>
                </pic:pic>
              </a:graphicData>
            </a:graphic>
          </wp:inline>
        </w:drawing>
      </w:r>
    </w:p>
    <w:p>
      <w:pPr>
        <w:spacing w:before="156"/>
      </w:pPr>
    </w:p>
    <w:p>
      <w:pPr>
        <w:pStyle w:val="131"/>
        <w:spacing w:before="156" w:after="156"/>
        <w:ind w:left="360" w:firstLine="0" w:firstLineChars="0"/>
        <w:sectPr>
          <w:pgSz w:w="11907" w:h="16840"/>
          <w:pgMar w:top="1440" w:right="1797" w:bottom="1440" w:left="1797" w:header="851" w:footer="992" w:gutter="0"/>
          <w:cols w:space="720" w:num="1"/>
          <w:docGrid w:type="lines" w:linePitch="312" w:charSpace="0"/>
        </w:sectPr>
      </w:pPr>
      <w:r>
        <w:rPr>
          <w:rFonts w:hint="eastAsia"/>
        </w:rPr>
        <w:drawing>
          <wp:inline distT="0" distB="0" distL="0" distR="0">
            <wp:extent cx="5267325" cy="7248525"/>
            <wp:effectExtent l="19050" t="0" r="9525" b="0"/>
            <wp:docPr id="2805" name="图片 2805"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 name="图片 2805" descr="未标题-3"/>
                    <pic:cNvPicPr>
                      <a:picLocks noChangeAspect="1" noChangeArrowheads="1"/>
                    </pic:cNvPicPr>
                  </pic:nvPicPr>
                  <pic:blipFill>
                    <a:blip r:embed="rId15" cstate="print"/>
                    <a:srcRect/>
                    <a:stretch>
                      <a:fillRect/>
                    </a:stretch>
                  </pic:blipFill>
                  <pic:spPr>
                    <a:xfrm>
                      <a:off x="0" y="0"/>
                      <a:ext cx="5267325" cy="7248525"/>
                    </a:xfrm>
                    <a:prstGeom prst="rect">
                      <a:avLst/>
                    </a:prstGeom>
                    <a:noFill/>
                    <a:ln w="9525">
                      <a:noFill/>
                      <a:miter lim="800000"/>
                      <a:headEnd/>
                      <a:tailEnd/>
                    </a:ln>
                  </pic:spPr>
                </pic:pic>
              </a:graphicData>
            </a:graphic>
          </wp:inline>
        </w:drawing>
      </w:r>
    </w:p>
    <w:p>
      <w:pPr>
        <w:pStyle w:val="3"/>
        <w:spacing w:before="156" w:after="156"/>
        <w:rPr>
          <w:rFonts w:ascii="Arial" w:hAnsi="Arial"/>
        </w:rPr>
      </w:pPr>
      <w:bookmarkStart w:id="364" w:name="_Toc441748606"/>
      <w:bookmarkStart w:id="365" w:name="_Toc492850138"/>
      <w:r>
        <w:rPr>
          <w:rFonts w:hint="eastAsia" w:ascii="Arial" w:hAnsi="Arial"/>
        </w:rPr>
        <w:t>附录三：山西省住建厅关于晋中市城市总体规划成果评审意见</w:t>
      </w:r>
      <w:bookmarkEnd w:id="364"/>
      <w:bookmarkEnd w:id="365"/>
    </w:p>
    <w:p>
      <w:pPr>
        <w:spacing w:before="156"/>
      </w:pPr>
      <w:r>
        <w:drawing>
          <wp:inline distT="0" distB="0" distL="0" distR="0">
            <wp:extent cx="5278755" cy="7530465"/>
            <wp:effectExtent l="19050" t="0" r="0" b="0"/>
            <wp:docPr id="15" name="图片 14" descr="Scan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Scan0001.bmp"/>
                    <pic:cNvPicPr>
                      <a:picLocks noChangeAspect="1"/>
                    </pic:cNvPicPr>
                  </pic:nvPicPr>
                  <pic:blipFill>
                    <a:blip r:embed="rId16" cstate="print"/>
                    <a:stretch>
                      <a:fillRect/>
                    </a:stretch>
                  </pic:blipFill>
                  <pic:spPr>
                    <a:xfrm>
                      <a:off x="0" y="0"/>
                      <a:ext cx="5278755" cy="7530465"/>
                    </a:xfrm>
                    <a:prstGeom prst="rect">
                      <a:avLst/>
                    </a:prstGeom>
                  </pic:spPr>
                </pic:pic>
              </a:graphicData>
            </a:graphic>
          </wp:inline>
        </w:drawing>
      </w:r>
    </w:p>
    <w:p>
      <w:pPr>
        <w:spacing w:before="156"/>
      </w:pPr>
      <w:r>
        <w:drawing>
          <wp:inline distT="0" distB="0" distL="0" distR="0">
            <wp:extent cx="5278755" cy="7530465"/>
            <wp:effectExtent l="19050" t="0" r="0" b="0"/>
            <wp:docPr id="17" name="图片 16" descr="Scan0006_旋转.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Scan0006_旋转.bmp"/>
                    <pic:cNvPicPr>
                      <a:picLocks noChangeAspect="1"/>
                    </pic:cNvPicPr>
                  </pic:nvPicPr>
                  <pic:blipFill>
                    <a:blip r:embed="rId17" cstate="print"/>
                    <a:stretch>
                      <a:fillRect/>
                    </a:stretch>
                  </pic:blipFill>
                  <pic:spPr>
                    <a:xfrm>
                      <a:off x="0" y="0"/>
                      <a:ext cx="5278755" cy="7530465"/>
                    </a:xfrm>
                    <a:prstGeom prst="rect">
                      <a:avLst/>
                    </a:prstGeom>
                  </pic:spPr>
                </pic:pic>
              </a:graphicData>
            </a:graphic>
          </wp:inline>
        </w:drawing>
      </w:r>
    </w:p>
    <w:p>
      <w:pPr>
        <w:spacing w:before="156"/>
        <w:sectPr>
          <w:pgSz w:w="11907" w:h="16840"/>
          <w:pgMar w:top="1440" w:right="1797" w:bottom="1440" w:left="1797" w:header="851" w:footer="992" w:gutter="0"/>
          <w:cols w:space="720" w:num="1"/>
          <w:docGrid w:type="lines" w:linePitch="312" w:charSpace="0"/>
        </w:sectPr>
      </w:pPr>
    </w:p>
    <w:p>
      <w:pPr>
        <w:spacing w:before="156"/>
      </w:pPr>
      <w:r>
        <w:drawing>
          <wp:inline distT="0" distB="0" distL="0" distR="0">
            <wp:extent cx="5278755" cy="7530465"/>
            <wp:effectExtent l="19050" t="0" r="0" b="0"/>
            <wp:docPr id="18" name="图片 17" descr="Scan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Scan0003.bmp"/>
                    <pic:cNvPicPr>
                      <a:picLocks noChangeAspect="1"/>
                    </pic:cNvPicPr>
                  </pic:nvPicPr>
                  <pic:blipFill>
                    <a:blip r:embed="rId18" cstate="print"/>
                    <a:stretch>
                      <a:fillRect/>
                    </a:stretch>
                  </pic:blipFill>
                  <pic:spPr>
                    <a:xfrm>
                      <a:off x="0" y="0"/>
                      <a:ext cx="5278755" cy="7530465"/>
                    </a:xfrm>
                    <a:prstGeom prst="rect">
                      <a:avLst/>
                    </a:prstGeom>
                  </pic:spPr>
                </pic:pic>
              </a:graphicData>
            </a:graphic>
          </wp:inline>
        </w:drawing>
      </w:r>
    </w:p>
    <w:p>
      <w:pPr>
        <w:spacing w:before="156"/>
        <w:sectPr>
          <w:pgSz w:w="11907" w:h="16840"/>
          <w:pgMar w:top="1440" w:right="1797" w:bottom="1440" w:left="1797" w:header="851" w:footer="992" w:gutter="0"/>
          <w:cols w:space="720" w:num="1"/>
          <w:docGrid w:type="lines" w:linePitch="312" w:charSpace="0"/>
        </w:sectPr>
      </w:pPr>
    </w:p>
    <w:p>
      <w:pPr>
        <w:spacing w:before="156"/>
      </w:pPr>
      <w:r>
        <w:drawing>
          <wp:inline distT="0" distB="0" distL="0" distR="0">
            <wp:extent cx="5278755" cy="7530465"/>
            <wp:effectExtent l="19050" t="0" r="0" b="0"/>
            <wp:docPr id="20" name="图片 19" descr="Scan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Scan0004.bmp"/>
                    <pic:cNvPicPr>
                      <a:picLocks noChangeAspect="1"/>
                    </pic:cNvPicPr>
                  </pic:nvPicPr>
                  <pic:blipFill>
                    <a:blip r:embed="rId19" cstate="print"/>
                    <a:stretch>
                      <a:fillRect/>
                    </a:stretch>
                  </pic:blipFill>
                  <pic:spPr>
                    <a:xfrm>
                      <a:off x="0" y="0"/>
                      <a:ext cx="5278755" cy="7530465"/>
                    </a:xfrm>
                    <a:prstGeom prst="rect">
                      <a:avLst/>
                    </a:prstGeom>
                  </pic:spPr>
                </pic:pic>
              </a:graphicData>
            </a:graphic>
          </wp:inline>
        </w:drawing>
      </w:r>
    </w:p>
    <w:p>
      <w:pPr>
        <w:pStyle w:val="3"/>
        <w:spacing w:before="156" w:after="156"/>
        <w:rPr>
          <w:rFonts w:ascii="Arial" w:hAnsi="Arial"/>
        </w:rPr>
        <w:sectPr>
          <w:pgSz w:w="11906" w:h="16838"/>
          <w:pgMar w:top="1440" w:right="1800" w:bottom="1440" w:left="1800" w:header="851" w:footer="992" w:gutter="0"/>
          <w:cols w:space="425" w:num="1"/>
          <w:docGrid w:type="lines" w:linePitch="312" w:charSpace="0"/>
        </w:sectPr>
      </w:pPr>
    </w:p>
    <w:p>
      <w:pPr>
        <w:pStyle w:val="2"/>
        <w:numPr>
          <w:ilvl w:val="0"/>
          <w:numId w:val="0"/>
        </w:numPr>
        <w:spacing w:before="156" w:after="120"/>
      </w:pPr>
      <w:bookmarkStart w:id="366" w:name="_Toc492850139"/>
      <w:r>
        <w:rPr>
          <w:rFonts w:hint="eastAsia"/>
        </w:rPr>
        <w:t>附表</w:t>
      </w:r>
      <w:bookmarkEnd w:id="366"/>
    </w:p>
    <w:p>
      <w:pPr>
        <w:pStyle w:val="3"/>
        <w:spacing w:before="156" w:after="156"/>
        <w:rPr>
          <w:rFonts w:ascii="Arial" w:hAnsi="Arial"/>
        </w:rPr>
      </w:pPr>
      <w:bookmarkStart w:id="367" w:name="_Toc492850140"/>
      <w:r>
        <w:rPr>
          <w:rFonts w:hint="eastAsia" w:ascii="Arial" w:hAnsi="Arial"/>
        </w:rPr>
        <w:t>附表1：晋中市经济、社会、资源、环境发展指标体系表</w:t>
      </w:r>
      <w:bookmarkEnd w:id="367"/>
    </w:p>
    <w:tbl>
      <w:tblPr>
        <w:tblStyle w:val="55"/>
        <w:tblW w:w="8992"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705"/>
        <w:gridCol w:w="682"/>
        <w:gridCol w:w="3063"/>
        <w:gridCol w:w="1104"/>
        <w:gridCol w:w="912"/>
        <w:gridCol w:w="793"/>
        <w:gridCol w:w="888"/>
        <w:gridCol w:w="84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tblHeader/>
          <w:jc w:val="center"/>
        </w:trPr>
        <w:tc>
          <w:tcPr>
            <w:tcW w:w="705" w:type="dxa"/>
            <w:shd w:val="clear" w:color="auto" w:fill="FFFFFF"/>
            <w:vAlign w:val="center"/>
          </w:tcPr>
          <w:p>
            <w:pPr>
              <w:pStyle w:val="112"/>
              <w:spacing w:beforeLines="0" w:after="0" w:line="0" w:lineRule="atLeast"/>
              <w:ind w:left="0" w:leftChars="0"/>
              <w:rPr>
                <w:b/>
              </w:rPr>
            </w:pPr>
            <w:r>
              <w:rPr>
                <w:rFonts w:hint="eastAsia"/>
                <w:b/>
              </w:rPr>
              <w:t>指标分类</w:t>
            </w:r>
          </w:p>
        </w:tc>
        <w:tc>
          <w:tcPr>
            <w:tcW w:w="682" w:type="dxa"/>
            <w:shd w:val="clear" w:color="auto" w:fill="FFFFFF"/>
            <w:vAlign w:val="center"/>
          </w:tcPr>
          <w:p>
            <w:pPr>
              <w:pStyle w:val="112"/>
              <w:spacing w:beforeLines="0" w:after="0" w:line="0" w:lineRule="atLeast"/>
              <w:ind w:left="0" w:leftChars="0"/>
              <w:rPr>
                <w:b/>
              </w:rPr>
            </w:pPr>
            <w:r>
              <w:rPr>
                <w:rFonts w:hint="eastAsia"/>
                <w:b/>
              </w:rPr>
              <w:t>指标分类</w:t>
            </w:r>
          </w:p>
        </w:tc>
        <w:tc>
          <w:tcPr>
            <w:tcW w:w="3063" w:type="dxa"/>
            <w:shd w:val="clear" w:color="auto" w:fill="FFFFFF"/>
            <w:vAlign w:val="center"/>
          </w:tcPr>
          <w:p>
            <w:pPr>
              <w:pStyle w:val="112"/>
              <w:spacing w:beforeLines="0" w:after="0" w:line="0" w:lineRule="atLeast"/>
              <w:ind w:left="0" w:leftChars="0"/>
              <w:rPr>
                <w:b/>
              </w:rPr>
            </w:pPr>
            <w:r>
              <w:rPr>
                <w:rFonts w:hint="eastAsia"/>
                <w:b/>
              </w:rPr>
              <w:t>指标名称说明</w:t>
            </w:r>
          </w:p>
        </w:tc>
        <w:tc>
          <w:tcPr>
            <w:tcW w:w="1104" w:type="dxa"/>
            <w:shd w:val="clear" w:color="auto" w:fill="FFFFFF"/>
            <w:vAlign w:val="center"/>
          </w:tcPr>
          <w:p>
            <w:pPr>
              <w:pStyle w:val="112"/>
              <w:spacing w:beforeLines="0" w:after="0" w:line="0" w:lineRule="atLeast"/>
              <w:ind w:left="0" w:leftChars="0"/>
              <w:rPr>
                <w:b/>
              </w:rPr>
            </w:pPr>
            <w:r>
              <w:rPr>
                <w:rFonts w:hint="eastAsia"/>
                <w:b/>
              </w:rPr>
              <w:t>单位</w:t>
            </w:r>
          </w:p>
        </w:tc>
        <w:tc>
          <w:tcPr>
            <w:tcW w:w="912" w:type="dxa"/>
            <w:shd w:val="clear" w:color="auto" w:fill="FFFFFF"/>
            <w:vAlign w:val="center"/>
          </w:tcPr>
          <w:p>
            <w:pPr>
              <w:pStyle w:val="112"/>
              <w:spacing w:beforeLines="0" w:after="0" w:line="0" w:lineRule="atLeast"/>
              <w:ind w:left="0" w:leftChars="0"/>
              <w:rPr>
                <w:b/>
              </w:rPr>
            </w:pPr>
            <w:r>
              <w:rPr>
                <w:b/>
              </w:rPr>
              <w:t>指标</w:t>
            </w:r>
          </w:p>
          <w:p>
            <w:pPr>
              <w:pStyle w:val="112"/>
              <w:spacing w:beforeLines="0" w:after="0" w:line="0" w:lineRule="atLeast"/>
              <w:ind w:left="0" w:leftChars="0"/>
              <w:rPr>
                <w:b/>
              </w:rPr>
            </w:pPr>
            <w:r>
              <w:rPr>
                <w:b/>
              </w:rPr>
              <w:t>类型</w:t>
            </w:r>
          </w:p>
        </w:tc>
        <w:tc>
          <w:tcPr>
            <w:tcW w:w="793" w:type="dxa"/>
            <w:shd w:val="clear" w:color="auto" w:fill="FFFFFF"/>
            <w:vAlign w:val="center"/>
          </w:tcPr>
          <w:p>
            <w:pPr>
              <w:pStyle w:val="112"/>
              <w:spacing w:beforeLines="0" w:after="0" w:line="0" w:lineRule="atLeast"/>
              <w:ind w:left="0" w:leftChars="0"/>
              <w:rPr>
                <w:b/>
              </w:rPr>
            </w:pPr>
            <w:r>
              <w:rPr>
                <w:rFonts w:hint="eastAsia"/>
                <w:b/>
              </w:rPr>
              <w:t>201</w:t>
            </w:r>
            <w:r>
              <w:rPr>
                <w:b/>
              </w:rPr>
              <w:t>5</w:t>
            </w:r>
          </w:p>
        </w:tc>
        <w:tc>
          <w:tcPr>
            <w:tcW w:w="888" w:type="dxa"/>
            <w:shd w:val="clear" w:color="auto" w:fill="FFFFFF"/>
            <w:vAlign w:val="center"/>
          </w:tcPr>
          <w:p>
            <w:pPr>
              <w:pStyle w:val="112"/>
              <w:spacing w:beforeLines="0" w:after="0" w:line="0" w:lineRule="atLeast"/>
              <w:ind w:left="0" w:leftChars="0"/>
              <w:rPr>
                <w:b/>
              </w:rPr>
            </w:pPr>
            <w:r>
              <w:rPr>
                <w:b/>
              </w:rPr>
              <w:t>2020</w:t>
            </w:r>
          </w:p>
        </w:tc>
        <w:tc>
          <w:tcPr>
            <w:tcW w:w="845" w:type="dxa"/>
            <w:shd w:val="clear" w:color="auto" w:fill="FFFFFF"/>
            <w:vAlign w:val="center"/>
          </w:tcPr>
          <w:p>
            <w:pPr>
              <w:pStyle w:val="112"/>
              <w:spacing w:beforeLines="0" w:after="0" w:line="0" w:lineRule="atLeast"/>
              <w:ind w:left="0" w:leftChars="0"/>
              <w:rPr>
                <w:b/>
              </w:rPr>
            </w:pPr>
            <w:r>
              <w:rPr>
                <w:b/>
              </w:rPr>
              <w:t>2030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restart"/>
            <w:shd w:val="clear" w:color="auto" w:fill="FFFFFF"/>
            <w:vAlign w:val="center"/>
          </w:tcPr>
          <w:p>
            <w:pPr>
              <w:pStyle w:val="112"/>
              <w:spacing w:beforeLines="0" w:after="0" w:line="0" w:lineRule="atLeast"/>
              <w:ind w:left="0" w:leftChars="0"/>
            </w:pPr>
            <w:r>
              <w:rPr>
                <w:rFonts w:hint="eastAsia"/>
              </w:rPr>
              <w:t>经济指标</w:t>
            </w:r>
          </w:p>
        </w:tc>
        <w:tc>
          <w:tcPr>
            <w:tcW w:w="682" w:type="dxa"/>
            <w:vMerge w:val="restart"/>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t>GDP</w:t>
            </w:r>
            <w:r>
              <w:rPr>
                <w:rFonts w:hint="eastAsia"/>
              </w:rPr>
              <w:t>总量</w:t>
            </w:r>
          </w:p>
        </w:tc>
        <w:tc>
          <w:tcPr>
            <w:tcW w:w="1104" w:type="dxa"/>
            <w:shd w:val="clear" w:color="auto" w:fill="FFFFFF"/>
            <w:vAlign w:val="center"/>
          </w:tcPr>
          <w:p>
            <w:pPr>
              <w:pStyle w:val="112"/>
              <w:spacing w:beforeLines="0" w:after="0" w:line="0" w:lineRule="atLeast"/>
              <w:ind w:left="0" w:leftChars="0"/>
            </w:pPr>
            <w:r>
              <w:rPr>
                <w:rFonts w:hint="eastAsia"/>
              </w:rPr>
              <w:t>亿元</w:t>
            </w:r>
          </w:p>
        </w:tc>
        <w:tc>
          <w:tcPr>
            <w:tcW w:w="912" w:type="dxa"/>
            <w:shd w:val="clear" w:color="auto" w:fill="FFFFFF"/>
            <w:vAlign w:val="center"/>
          </w:tcPr>
          <w:p>
            <w:pPr>
              <w:pStyle w:val="112"/>
              <w:spacing w:beforeLines="0" w:after="0" w:line="0" w:lineRule="atLeast"/>
              <w:ind w:left="0" w:leftChars="0"/>
            </w:pPr>
            <w:r>
              <w:rPr>
                <w:rFonts w:hint="eastAsia"/>
              </w:rPr>
              <w:t>引导型</w:t>
            </w:r>
          </w:p>
        </w:tc>
        <w:tc>
          <w:tcPr>
            <w:tcW w:w="793" w:type="dxa"/>
            <w:shd w:val="clear" w:color="auto" w:fill="FFFFFF"/>
            <w:vAlign w:val="center"/>
          </w:tcPr>
          <w:p>
            <w:pPr>
              <w:pStyle w:val="112"/>
              <w:spacing w:beforeLines="0" w:after="0" w:line="0" w:lineRule="atLeast"/>
              <w:ind w:left="0" w:leftChars="0"/>
            </w:pPr>
            <w:r>
              <w:rPr>
                <w:rFonts w:hint="eastAsia"/>
              </w:rPr>
              <w:t>1041</w:t>
            </w:r>
          </w:p>
        </w:tc>
        <w:tc>
          <w:tcPr>
            <w:tcW w:w="888" w:type="dxa"/>
            <w:shd w:val="clear" w:color="auto" w:fill="FFFFFF"/>
            <w:vAlign w:val="center"/>
          </w:tcPr>
          <w:p>
            <w:pPr>
              <w:pStyle w:val="112"/>
              <w:spacing w:beforeLines="0" w:after="0" w:line="0" w:lineRule="atLeast"/>
              <w:ind w:left="0" w:leftChars="0"/>
            </w:pPr>
            <w:r>
              <w:rPr>
                <w:rFonts w:hint="eastAsia"/>
              </w:rPr>
              <w:t>2000</w:t>
            </w:r>
          </w:p>
        </w:tc>
        <w:tc>
          <w:tcPr>
            <w:tcW w:w="845" w:type="dxa"/>
            <w:shd w:val="clear" w:color="auto" w:fill="FFFFFF"/>
            <w:vAlign w:val="center"/>
          </w:tcPr>
          <w:p>
            <w:pPr>
              <w:pStyle w:val="112"/>
              <w:spacing w:beforeLines="0" w:after="0" w:line="0" w:lineRule="atLeast"/>
              <w:ind w:left="0" w:leftChars="0"/>
            </w:pPr>
            <w:r>
              <w:rPr>
                <w:rFonts w:hint="eastAsia"/>
              </w:rPr>
              <w:t>4000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trHeight w:val="72" w:hRule="atLeast"/>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人均</w:t>
            </w:r>
            <w:r>
              <w:t>GDP</w:t>
            </w:r>
          </w:p>
        </w:tc>
        <w:tc>
          <w:tcPr>
            <w:tcW w:w="1104" w:type="dxa"/>
            <w:shd w:val="clear" w:color="auto" w:fill="FFFFFF"/>
            <w:vAlign w:val="center"/>
          </w:tcPr>
          <w:p>
            <w:pPr>
              <w:pStyle w:val="112"/>
              <w:spacing w:beforeLines="0" w:after="0" w:line="0" w:lineRule="atLeast"/>
              <w:ind w:left="0" w:leftChars="0"/>
            </w:pPr>
            <w:r>
              <w:rPr>
                <w:rFonts w:hint="eastAsia"/>
              </w:rPr>
              <w:t>万元</w:t>
            </w:r>
            <w:r>
              <w:t>/</w:t>
            </w:r>
            <w:r>
              <w:rPr>
                <w:rFonts w:hint="eastAsia"/>
              </w:rPr>
              <w:t>人</w:t>
            </w:r>
          </w:p>
        </w:tc>
        <w:tc>
          <w:tcPr>
            <w:tcW w:w="912" w:type="dxa"/>
            <w:shd w:val="clear" w:color="auto" w:fill="FFFFFF"/>
            <w:vAlign w:val="center"/>
          </w:tcPr>
          <w:p>
            <w:pPr>
              <w:pStyle w:val="112"/>
              <w:spacing w:beforeLines="0" w:after="0" w:line="0" w:lineRule="atLeast"/>
              <w:ind w:left="0" w:leftChars="0"/>
            </w:pPr>
            <w:r>
              <w:rPr>
                <w:rFonts w:hint="eastAsia"/>
              </w:rPr>
              <w:t>引导型</w:t>
            </w:r>
          </w:p>
        </w:tc>
        <w:tc>
          <w:tcPr>
            <w:tcW w:w="793" w:type="dxa"/>
            <w:shd w:val="clear" w:color="auto" w:fill="FFFFFF"/>
            <w:vAlign w:val="center"/>
          </w:tcPr>
          <w:p>
            <w:pPr>
              <w:pStyle w:val="112"/>
              <w:spacing w:beforeLines="0" w:after="0" w:line="0" w:lineRule="atLeast"/>
              <w:ind w:left="0" w:leftChars="0"/>
            </w:pPr>
            <w:r>
              <w:rPr>
                <w:rFonts w:hint="eastAsia"/>
              </w:rPr>
              <w:t>3.1</w:t>
            </w:r>
          </w:p>
        </w:tc>
        <w:tc>
          <w:tcPr>
            <w:tcW w:w="888" w:type="dxa"/>
            <w:shd w:val="clear" w:color="auto" w:fill="FFFFFF"/>
            <w:vAlign w:val="center"/>
          </w:tcPr>
          <w:p>
            <w:pPr>
              <w:pStyle w:val="112"/>
              <w:spacing w:beforeLines="0" w:after="0" w:line="0" w:lineRule="atLeast"/>
              <w:ind w:left="0" w:leftChars="0"/>
            </w:pPr>
            <w:r>
              <w:rPr>
                <w:rFonts w:hint="eastAsia"/>
              </w:rPr>
              <w:t>5.0</w:t>
            </w:r>
          </w:p>
        </w:tc>
        <w:tc>
          <w:tcPr>
            <w:tcW w:w="845" w:type="dxa"/>
            <w:shd w:val="clear" w:color="auto" w:fill="FFFFFF"/>
            <w:vAlign w:val="center"/>
          </w:tcPr>
          <w:p>
            <w:pPr>
              <w:pStyle w:val="112"/>
              <w:spacing w:beforeLines="0" w:after="0" w:line="0" w:lineRule="atLeast"/>
              <w:ind w:left="0" w:leftChars="0"/>
            </w:pPr>
            <w:r>
              <w:rPr>
                <w:rFonts w:hint="eastAsia"/>
              </w:rPr>
              <w:t>8.7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第三产业增加值占</w:t>
            </w:r>
            <w:r>
              <w:t>GDP</w:t>
            </w:r>
            <w:r>
              <w:rPr>
                <w:rFonts w:hint="eastAsia"/>
              </w:rPr>
              <w:t>比重</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vAlign w:val="center"/>
          </w:tcPr>
          <w:p>
            <w:pPr>
              <w:pStyle w:val="112"/>
              <w:spacing w:beforeLines="0" w:after="0" w:line="0" w:lineRule="atLeast"/>
              <w:ind w:left="0" w:leftChars="0"/>
            </w:pPr>
            <w:r>
              <w:rPr>
                <w:rFonts w:hint="eastAsia"/>
              </w:rPr>
              <w:t>引导型</w:t>
            </w:r>
          </w:p>
        </w:tc>
        <w:tc>
          <w:tcPr>
            <w:tcW w:w="793" w:type="dxa"/>
            <w:shd w:val="clear" w:color="auto" w:fill="FFFFFF"/>
            <w:vAlign w:val="center"/>
          </w:tcPr>
          <w:p>
            <w:pPr>
              <w:pStyle w:val="112"/>
              <w:spacing w:beforeLines="0" w:after="0" w:line="0" w:lineRule="atLeast"/>
              <w:ind w:left="0" w:leftChars="0"/>
            </w:pPr>
            <w:r>
              <w:rPr>
                <w:rFonts w:hint="eastAsia"/>
              </w:rPr>
              <w:t>4</w:t>
            </w:r>
            <w:r>
              <w:t>7.1</w:t>
            </w:r>
          </w:p>
        </w:tc>
        <w:tc>
          <w:tcPr>
            <w:tcW w:w="888" w:type="dxa"/>
            <w:shd w:val="clear" w:color="auto" w:fill="FFFFFF"/>
            <w:vAlign w:val="center"/>
          </w:tcPr>
          <w:p>
            <w:pPr>
              <w:pStyle w:val="112"/>
              <w:spacing w:beforeLines="0" w:after="0" w:line="0" w:lineRule="atLeast"/>
              <w:ind w:left="0" w:leftChars="0"/>
            </w:pPr>
            <w:r>
              <w:rPr>
                <w:rFonts w:hint="eastAsia"/>
              </w:rPr>
              <w:t>＞45</w:t>
            </w:r>
          </w:p>
        </w:tc>
        <w:tc>
          <w:tcPr>
            <w:tcW w:w="845" w:type="dxa"/>
            <w:shd w:val="clear" w:color="auto" w:fill="FFFFFF"/>
            <w:vAlign w:val="center"/>
          </w:tcPr>
          <w:p>
            <w:pPr>
              <w:pStyle w:val="112"/>
              <w:spacing w:beforeLines="0" w:after="0" w:line="0" w:lineRule="atLeast"/>
              <w:ind w:left="0" w:leftChars="0"/>
            </w:pPr>
            <w:r>
              <w:rPr>
                <w:rFonts w:hint="eastAsia"/>
              </w:rPr>
              <w:t>＞50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restart"/>
            <w:shd w:val="clear" w:color="auto" w:fill="FFFFFF"/>
            <w:vAlign w:val="center"/>
          </w:tcPr>
          <w:p>
            <w:pPr>
              <w:pStyle w:val="112"/>
              <w:spacing w:beforeLines="0" w:after="0" w:line="0" w:lineRule="atLeast"/>
              <w:ind w:left="0" w:leftChars="0"/>
            </w:pPr>
            <w:r>
              <w:rPr>
                <w:rFonts w:hint="eastAsia"/>
              </w:rPr>
              <w:t>社会人文指标</w:t>
            </w:r>
          </w:p>
        </w:tc>
        <w:tc>
          <w:tcPr>
            <w:tcW w:w="682" w:type="dxa"/>
            <w:vMerge w:val="restart"/>
            <w:shd w:val="clear" w:color="auto" w:fill="FFFFFF"/>
            <w:vAlign w:val="center"/>
          </w:tcPr>
          <w:p>
            <w:pPr>
              <w:pStyle w:val="112"/>
              <w:spacing w:beforeLines="0" w:after="0" w:line="0" w:lineRule="atLeast"/>
              <w:ind w:left="0" w:leftChars="0"/>
            </w:pPr>
            <w:r>
              <w:rPr>
                <w:rFonts w:hint="eastAsia"/>
              </w:rPr>
              <w:t>收入指标</w:t>
            </w:r>
          </w:p>
        </w:tc>
        <w:tc>
          <w:tcPr>
            <w:tcW w:w="3063" w:type="dxa"/>
            <w:shd w:val="clear" w:color="auto" w:fill="FFFFFF"/>
            <w:vAlign w:val="center"/>
          </w:tcPr>
          <w:p>
            <w:pPr>
              <w:pStyle w:val="112"/>
              <w:spacing w:beforeLines="0" w:after="0" w:line="0" w:lineRule="atLeast"/>
              <w:ind w:left="0" w:leftChars="0"/>
            </w:pPr>
            <w:r>
              <w:rPr>
                <w:rFonts w:hint="eastAsia"/>
              </w:rPr>
              <w:t>城镇居民人均可支配收入</w:t>
            </w:r>
          </w:p>
        </w:tc>
        <w:tc>
          <w:tcPr>
            <w:tcW w:w="1104" w:type="dxa"/>
            <w:shd w:val="clear" w:color="auto" w:fill="FFFFFF"/>
            <w:vAlign w:val="center"/>
          </w:tcPr>
          <w:p>
            <w:pPr>
              <w:pStyle w:val="112"/>
              <w:spacing w:beforeLines="0" w:after="0" w:line="0" w:lineRule="atLeast"/>
              <w:ind w:left="0" w:leftChars="0"/>
            </w:pPr>
            <w:r>
              <w:rPr>
                <w:rFonts w:hint="eastAsia"/>
              </w:rPr>
              <w:t>元</w:t>
            </w:r>
          </w:p>
        </w:tc>
        <w:tc>
          <w:tcPr>
            <w:tcW w:w="912" w:type="dxa"/>
            <w:shd w:val="clear" w:color="auto" w:fill="FFFFFF"/>
            <w:vAlign w:val="center"/>
          </w:tcPr>
          <w:p>
            <w:pPr>
              <w:pStyle w:val="112"/>
              <w:spacing w:beforeLines="0" w:after="0" w:line="0" w:lineRule="atLeast"/>
              <w:ind w:left="0" w:leftChars="0"/>
            </w:pPr>
            <w:r>
              <w:rPr>
                <w:rFonts w:hint="eastAsia"/>
              </w:rPr>
              <w:t>引导型</w:t>
            </w:r>
          </w:p>
        </w:tc>
        <w:tc>
          <w:tcPr>
            <w:tcW w:w="793" w:type="dxa"/>
            <w:shd w:val="clear" w:color="auto" w:fill="FFFFFF"/>
            <w:vAlign w:val="center"/>
          </w:tcPr>
          <w:p>
            <w:pPr>
              <w:pStyle w:val="112"/>
              <w:spacing w:beforeLines="0" w:after="0" w:line="0" w:lineRule="atLeast"/>
              <w:ind w:left="0" w:leftChars="0"/>
            </w:pPr>
            <w:r>
              <w:rPr>
                <w:rFonts w:hint="eastAsia"/>
              </w:rPr>
              <w:t>25652</w:t>
            </w:r>
          </w:p>
        </w:tc>
        <w:tc>
          <w:tcPr>
            <w:tcW w:w="888" w:type="dxa"/>
            <w:shd w:val="clear" w:color="auto" w:fill="FFFFFF"/>
            <w:vAlign w:val="center"/>
          </w:tcPr>
          <w:p>
            <w:pPr>
              <w:pStyle w:val="112"/>
              <w:spacing w:beforeLines="0" w:after="0" w:line="0" w:lineRule="atLeast"/>
              <w:ind w:left="0" w:leftChars="0"/>
            </w:pPr>
            <w:r>
              <w:rPr>
                <w:rFonts w:hint="eastAsia"/>
              </w:rPr>
              <w:t>40000</w:t>
            </w:r>
          </w:p>
        </w:tc>
        <w:tc>
          <w:tcPr>
            <w:tcW w:w="845" w:type="dxa"/>
            <w:shd w:val="clear" w:color="auto" w:fill="FFFFFF"/>
            <w:vAlign w:val="center"/>
          </w:tcPr>
          <w:p>
            <w:pPr>
              <w:pStyle w:val="112"/>
              <w:spacing w:beforeLines="0" w:after="0" w:line="0" w:lineRule="atLeast"/>
              <w:ind w:left="0" w:leftChars="0"/>
            </w:pPr>
            <w:r>
              <w:rPr>
                <w:rFonts w:hint="eastAsia"/>
              </w:rPr>
              <w:t>75000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农村居民人均纯收入</w:t>
            </w:r>
          </w:p>
        </w:tc>
        <w:tc>
          <w:tcPr>
            <w:tcW w:w="1104" w:type="dxa"/>
            <w:shd w:val="clear" w:color="auto" w:fill="FFFFFF"/>
            <w:vAlign w:val="center"/>
          </w:tcPr>
          <w:p>
            <w:pPr>
              <w:pStyle w:val="112"/>
              <w:spacing w:beforeLines="0" w:after="0" w:line="0" w:lineRule="atLeast"/>
              <w:ind w:left="0" w:leftChars="0"/>
            </w:pPr>
            <w:r>
              <w:rPr>
                <w:rFonts w:hint="eastAsia"/>
              </w:rPr>
              <w:t>元</w:t>
            </w:r>
          </w:p>
        </w:tc>
        <w:tc>
          <w:tcPr>
            <w:tcW w:w="912" w:type="dxa"/>
            <w:shd w:val="clear" w:color="auto" w:fill="FFFFFF"/>
            <w:vAlign w:val="center"/>
          </w:tcPr>
          <w:p>
            <w:pPr>
              <w:pStyle w:val="112"/>
              <w:spacing w:beforeLines="0" w:after="0" w:line="0" w:lineRule="atLeast"/>
              <w:ind w:left="0" w:leftChars="0"/>
            </w:pPr>
            <w:r>
              <w:rPr>
                <w:rFonts w:hint="eastAsia"/>
              </w:rPr>
              <w:t>引导型</w:t>
            </w:r>
          </w:p>
        </w:tc>
        <w:tc>
          <w:tcPr>
            <w:tcW w:w="793" w:type="dxa"/>
            <w:shd w:val="clear" w:color="auto" w:fill="FFFFFF"/>
            <w:vAlign w:val="center"/>
          </w:tcPr>
          <w:p>
            <w:pPr>
              <w:pStyle w:val="112"/>
              <w:spacing w:beforeLines="0" w:after="0" w:line="0" w:lineRule="atLeast"/>
              <w:ind w:left="0" w:leftChars="0"/>
            </w:pPr>
            <w:r>
              <w:rPr>
                <w:rFonts w:hint="eastAsia"/>
              </w:rPr>
              <w:t>10100</w:t>
            </w:r>
          </w:p>
        </w:tc>
        <w:tc>
          <w:tcPr>
            <w:tcW w:w="888" w:type="dxa"/>
            <w:shd w:val="clear" w:color="auto" w:fill="FFFFFF"/>
            <w:vAlign w:val="center"/>
          </w:tcPr>
          <w:p>
            <w:pPr>
              <w:pStyle w:val="112"/>
              <w:spacing w:beforeLines="0" w:after="0" w:line="0" w:lineRule="atLeast"/>
              <w:ind w:left="0" w:leftChars="0"/>
            </w:pPr>
            <w:r>
              <w:rPr>
                <w:rFonts w:hint="eastAsia"/>
              </w:rPr>
              <w:t>15500</w:t>
            </w:r>
          </w:p>
        </w:tc>
        <w:tc>
          <w:tcPr>
            <w:tcW w:w="845" w:type="dxa"/>
            <w:shd w:val="clear" w:color="auto" w:fill="FFFFFF"/>
            <w:vAlign w:val="center"/>
          </w:tcPr>
          <w:p>
            <w:pPr>
              <w:pStyle w:val="112"/>
              <w:spacing w:beforeLines="0" w:after="0" w:line="0" w:lineRule="atLeast"/>
              <w:ind w:left="0" w:leftChars="0"/>
            </w:pPr>
            <w:r>
              <w:rPr>
                <w:rFonts w:hint="eastAsia"/>
              </w:rPr>
              <w:t>30000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restart"/>
            <w:shd w:val="clear" w:color="auto" w:fill="FFFFFF"/>
            <w:vAlign w:val="center"/>
          </w:tcPr>
          <w:p>
            <w:pPr>
              <w:pStyle w:val="112"/>
              <w:spacing w:beforeLines="0" w:after="0" w:line="0" w:lineRule="atLeast"/>
              <w:ind w:left="0" w:leftChars="0"/>
            </w:pPr>
            <w:r>
              <w:rPr>
                <w:rFonts w:hint="eastAsia"/>
              </w:rPr>
              <w:t>人口指标</w:t>
            </w:r>
          </w:p>
        </w:tc>
        <w:tc>
          <w:tcPr>
            <w:tcW w:w="3063" w:type="dxa"/>
            <w:shd w:val="clear" w:color="auto" w:fill="FFFFFF"/>
            <w:vAlign w:val="center"/>
          </w:tcPr>
          <w:p>
            <w:pPr>
              <w:pStyle w:val="112"/>
              <w:spacing w:beforeLines="0" w:after="0" w:line="0" w:lineRule="atLeast"/>
              <w:ind w:left="0" w:leftChars="0"/>
            </w:pPr>
            <w:r>
              <w:rPr>
                <w:rFonts w:hint="eastAsia"/>
              </w:rPr>
              <w:t>人口规模（市域）</w:t>
            </w:r>
          </w:p>
        </w:tc>
        <w:tc>
          <w:tcPr>
            <w:tcW w:w="1104" w:type="dxa"/>
            <w:shd w:val="clear" w:color="auto" w:fill="FFFFFF"/>
            <w:vAlign w:val="center"/>
          </w:tcPr>
          <w:p>
            <w:pPr>
              <w:pStyle w:val="112"/>
              <w:spacing w:beforeLines="0" w:after="0" w:line="0" w:lineRule="atLeast"/>
              <w:ind w:left="0" w:leftChars="0"/>
            </w:pPr>
            <w:r>
              <w:rPr>
                <w:rFonts w:hint="eastAsia"/>
              </w:rPr>
              <w:t>万人</w:t>
            </w:r>
          </w:p>
        </w:tc>
        <w:tc>
          <w:tcPr>
            <w:tcW w:w="912" w:type="dxa"/>
            <w:shd w:val="clear" w:color="auto" w:fill="FFFFFF"/>
            <w:vAlign w:val="center"/>
          </w:tcPr>
          <w:p>
            <w:pPr>
              <w:pStyle w:val="112"/>
              <w:spacing w:beforeLines="0" w:after="0" w:line="0" w:lineRule="atLeast"/>
              <w:ind w:left="0" w:leftChars="0"/>
            </w:pPr>
            <w:r>
              <w:rPr>
                <w:rFonts w:hint="eastAsia"/>
              </w:rPr>
              <w:t>引导型</w:t>
            </w:r>
          </w:p>
        </w:tc>
        <w:tc>
          <w:tcPr>
            <w:tcW w:w="793" w:type="dxa"/>
            <w:shd w:val="clear" w:color="auto" w:fill="FFFFFF"/>
            <w:vAlign w:val="center"/>
          </w:tcPr>
          <w:p>
            <w:pPr>
              <w:pStyle w:val="112"/>
              <w:spacing w:beforeLines="0" w:after="0" w:line="0" w:lineRule="atLeast"/>
              <w:ind w:left="0" w:leftChars="0"/>
            </w:pPr>
            <w:r>
              <w:rPr>
                <w:rFonts w:hint="eastAsia"/>
              </w:rPr>
              <w:t>332</w:t>
            </w:r>
          </w:p>
        </w:tc>
        <w:tc>
          <w:tcPr>
            <w:tcW w:w="888" w:type="dxa"/>
            <w:shd w:val="clear" w:color="auto" w:fill="FFFFFF"/>
            <w:vAlign w:val="center"/>
          </w:tcPr>
          <w:p>
            <w:pPr>
              <w:pStyle w:val="112"/>
              <w:spacing w:beforeLines="0" w:after="0" w:line="0" w:lineRule="atLeast"/>
              <w:ind w:left="0" w:leftChars="0"/>
            </w:pPr>
            <w:r>
              <w:rPr>
                <w:rFonts w:hint="eastAsia"/>
              </w:rPr>
              <w:t>400</w:t>
            </w:r>
          </w:p>
        </w:tc>
        <w:tc>
          <w:tcPr>
            <w:tcW w:w="845" w:type="dxa"/>
            <w:shd w:val="clear" w:color="auto" w:fill="FFFFFF"/>
            <w:vAlign w:val="center"/>
          </w:tcPr>
          <w:p>
            <w:pPr>
              <w:pStyle w:val="112"/>
              <w:spacing w:beforeLines="0" w:after="0" w:line="0" w:lineRule="atLeast"/>
              <w:ind w:left="0" w:leftChars="0"/>
            </w:pPr>
            <w:r>
              <w:rPr>
                <w:rFonts w:hint="eastAsia"/>
              </w:rPr>
              <w:t>460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人口规模（中心城区）</w:t>
            </w:r>
          </w:p>
        </w:tc>
        <w:tc>
          <w:tcPr>
            <w:tcW w:w="1104" w:type="dxa"/>
            <w:shd w:val="clear" w:color="auto" w:fill="FFFFFF"/>
            <w:vAlign w:val="center"/>
          </w:tcPr>
          <w:p>
            <w:pPr>
              <w:pStyle w:val="112"/>
              <w:spacing w:beforeLines="0" w:after="0" w:line="0" w:lineRule="atLeast"/>
              <w:ind w:left="0" w:leftChars="0"/>
            </w:pPr>
            <w:r>
              <w:rPr>
                <w:rFonts w:hint="eastAsia"/>
              </w:rPr>
              <w:t>万人</w:t>
            </w:r>
          </w:p>
        </w:tc>
        <w:tc>
          <w:tcPr>
            <w:tcW w:w="912" w:type="dxa"/>
            <w:shd w:val="clear" w:color="auto" w:fill="FFFFFF"/>
            <w:vAlign w:val="center"/>
          </w:tcPr>
          <w:p>
            <w:pPr>
              <w:pStyle w:val="112"/>
              <w:spacing w:beforeLines="0" w:after="0" w:line="0" w:lineRule="atLeast"/>
              <w:ind w:left="0" w:leftChars="0"/>
            </w:pPr>
            <w:r>
              <w:rPr>
                <w:rFonts w:hint="eastAsia"/>
              </w:rPr>
              <w:t>引导型</w:t>
            </w:r>
          </w:p>
        </w:tc>
        <w:tc>
          <w:tcPr>
            <w:tcW w:w="793" w:type="dxa"/>
            <w:shd w:val="clear" w:color="auto" w:fill="FFFFFF"/>
            <w:vAlign w:val="center"/>
          </w:tcPr>
          <w:p>
            <w:pPr>
              <w:pStyle w:val="112"/>
              <w:spacing w:beforeLines="0" w:after="0" w:line="0" w:lineRule="atLeast"/>
              <w:ind w:left="0" w:leftChars="0"/>
            </w:pPr>
            <w:r>
              <w:rPr>
                <w:rFonts w:hint="eastAsia"/>
              </w:rPr>
              <w:t>70</w:t>
            </w:r>
          </w:p>
        </w:tc>
        <w:tc>
          <w:tcPr>
            <w:tcW w:w="888" w:type="dxa"/>
            <w:shd w:val="clear" w:color="auto" w:fill="FFFFFF"/>
            <w:vAlign w:val="center"/>
          </w:tcPr>
          <w:p>
            <w:pPr>
              <w:pStyle w:val="112"/>
              <w:spacing w:beforeLines="0" w:after="0" w:line="0" w:lineRule="atLeast"/>
              <w:ind w:left="0" w:leftChars="0"/>
            </w:pPr>
            <w:r>
              <w:rPr>
                <w:rFonts w:hint="eastAsia"/>
              </w:rPr>
              <w:t>9</w:t>
            </w:r>
            <w:r>
              <w:t>5</w:t>
            </w:r>
          </w:p>
        </w:tc>
        <w:tc>
          <w:tcPr>
            <w:tcW w:w="845" w:type="dxa"/>
            <w:shd w:val="clear" w:color="auto" w:fill="FFFFFF"/>
            <w:vAlign w:val="center"/>
          </w:tcPr>
          <w:p>
            <w:pPr>
              <w:pStyle w:val="112"/>
              <w:spacing w:beforeLines="0" w:after="0" w:line="0" w:lineRule="atLeast"/>
              <w:ind w:left="0" w:leftChars="0"/>
            </w:pPr>
            <w:r>
              <w:rPr>
                <w:rFonts w:hint="eastAsia"/>
              </w:rPr>
              <w:t>1</w:t>
            </w:r>
            <w:r>
              <w:t>32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常住人口城镇化率</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vAlign w:val="center"/>
          </w:tcPr>
          <w:p>
            <w:pPr>
              <w:pStyle w:val="112"/>
              <w:spacing w:beforeLines="0" w:after="0" w:line="0" w:lineRule="atLeast"/>
              <w:ind w:left="0" w:leftChars="0"/>
            </w:pPr>
            <w:r>
              <w:rPr>
                <w:rFonts w:hint="eastAsia"/>
              </w:rPr>
              <w:t>引导型</w:t>
            </w:r>
          </w:p>
        </w:tc>
        <w:tc>
          <w:tcPr>
            <w:tcW w:w="793" w:type="dxa"/>
            <w:shd w:val="clear" w:color="auto" w:fill="FFFFFF"/>
            <w:vAlign w:val="center"/>
          </w:tcPr>
          <w:p>
            <w:pPr>
              <w:pStyle w:val="112"/>
              <w:spacing w:beforeLines="0" w:after="0" w:line="0" w:lineRule="atLeast"/>
              <w:ind w:left="0" w:leftChars="0"/>
            </w:pPr>
            <w:r>
              <w:rPr>
                <w:rFonts w:hint="eastAsia"/>
              </w:rPr>
              <w:t>50.45</w:t>
            </w:r>
          </w:p>
        </w:tc>
        <w:tc>
          <w:tcPr>
            <w:tcW w:w="888" w:type="dxa"/>
            <w:shd w:val="clear" w:color="auto" w:fill="FFFFFF"/>
            <w:vAlign w:val="center"/>
          </w:tcPr>
          <w:p>
            <w:pPr>
              <w:pStyle w:val="112"/>
              <w:spacing w:beforeLines="0" w:after="0" w:line="0" w:lineRule="atLeast"/>
              <w:ind w:left="0" w:leftChars="0"/>
            </w:pPr>
            <w:r>
              <w:rPr>
                <w:rFonts w:hint="eastAsia"/>
              </w:rPr>
              <w:t>60</w:t>
            </w:r>
          </w:p>
        </w:tc>
        <w:tc>
          <w:tcPr>
            <w:tcW w:w="845" w:type="dxa"/>
            <w:shd w:val="clear" w:color="auto" w:fill="FFFFFF"/>
            <w:vAlign w:val="center"/>
          </w:tcPr>
          <w:p>
            <w:pPr>
              <w:pStyle w:val="112"/>
              <w:spacing w:beforeLines="0" w:after="0" w:line="0" w:lineRule="atLeast"/>
              <w:ind w:left="0" w:leftChars="0"/>
            </w:pPr>
            <w:r>
              <w:t>7</w:t>
            </w:r>
            <w:r>
              <w:rPr>
                <w:rFonts w:hint="eastAsia"/>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户籍人口城镇化率</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vAlign w:val="center"/>
          </w:tcPr>
          <w:p>
            <w:pPr>
              <w:pStyle w:val="112"/>
              <w:spacing w:beforeLines="0" w:after="0" w:line="0" w:lineRule="atLeast"/>
              <w:ind w:left="0" w:leftChars="0"/>
            </w:pPr>
            <w:r>
              <w:rPr>
                <w:rFonts w:hint="eastAsia"/>
              </w:rPr>
              <w:t>引导型</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rPr>
                <w:rFonts w:hint="eastAsia"/>
              </w:rPr>
              <w:t>45</w:t>
            </w:r>
          </w:p>
        </w:tc>
        <w:tc>
          <w:tcPr>
            <w:tcW w:w="845" w:type="dxa"/>
            <w:shd w:val="clear" w:color="auto" w:fill="FFFFFF"/>
            <w:vAlign w:val="center"/>
          </w:tcPr>
          <w:p>
            <w:pPr>
              <w:pStyle w:val="112"/>
              <w:spacing w:beforeLines="0" w:after="0" w:line="0" w:lineRule="atLeast"/>
              <w:ind w:left="0" w:leftChars="0"/>
            </w:pPr>
            <w:r>
              <w:rPr>
                <w:rFonts w:hint="eastAsia"/>
              </w:rPr>
              <w:t>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restart"/>
            <w:shd w:val="clear" w:color="auto" w:fill="FFFFFF"/>
            <w:vAlign w:val="center"/>
          </w:tcPr>
          <w:p>
            <w:pPr>
              <w:pStyle w:val="112"/>
              <w:spacing w:beforeLines="0" w:after="0" w:line="0" w:lineRule="atLeast"/>
              <w:ind w:left="0" w:leftChars="0"/>
            </w:pPr>
            <w:r>
              <w:rPr>
                <w:rFonts w:hint="eastAsia"/>
              </w:rPr>
              <w:t>医疗指标</w:t>
            </w:r>
          </w:p>
        </w:tc>
        <w:tc>
          <w:tcPr>
            <w:tcW w:w="3063" w:type="dxa"/>
            <w:shd w:val="clear" w:color="auto" w:fill="FFFFFF"/>
            <w:vAlign w:val="center"/>
          </w:tcPr>
          <w:p>
            <w:pPr>
              <w:pStyle w:val="112"/>
              <w:spacing w:beforeLines="0" w:after="0" w:line="0" w:lineRule="atLeast"/>
              <w:ind w:left="0" w:leftChars="0"/>
            </w:pPr>
            <w:r>
              <w:rPr>
                <w:rFonts w:hint="eastAsia"/>
              </w:rPr>
              <w:t>每千人拥有医疗床位数</w:t>
            </w:r>
          </w:p>
        </w:tc>
        <w:tc>
          <w:tcPr>
            <w:tcW w:w="1104" w:type="dxa"/>
            <w:shd w:val="clear" w:color="auto" w:fill="FFFFFF"/>
            <w:vAlign w:val="center"/>
          </w:tcPr>
          <w:p>
            <w:pPr>
              <w:pStyle w:val="112"/>
              <w:spacing w:beforeLines="0" w:after="0" w:line="0" w:lineRule="atLeast"/>
              <w:ind w:left="0" w:leftChars="0"/>
            </w:pPr>
            <w:r>
              <w:rPr>
                <w:rFonts w:hint="eastAsia"/>
              </w:rPr>
              <w:t>个</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t>3.</w:t>
            </w:r>
            <w:r>
              <w:rPr>
                <w:rFonts w:hint="eastAsia"/>
              </w:rPr>
              <w:t>9</w:t>
            </w:r>
          </w:p>
        </w:tc>
        <w:tc>
          <w:tcPr>
            <w:tcW w:w="888" w:type="dxa"/>
            <w:shd w:val="clear" w:color="auto" w:fill="FFFFFF"/>
            <w:vAlign w:val="center"/>
          </w:tcPr>
          <w:p>
            <w:pPr>
              <w:pStyle w:val="112"/>
              <w:spacing w:beforeLines="0" w:after="0" w:line="0" w:lineRule="atLeast"/>
              <w:ind w:left="0" w:leftChars="0"/>
            </w:pPr>
            <w:r>
              <w:t>4.</w:t>
            </w:r>
            <w:r>
              <w:rPr>
                <w:rFonts w:hint="eastAsia"/>
              </w:rPr>
              <w:t>5</w:t>
            </w:r>
          </w:p>
        </w:tc>
        <w:tc>
          <w:tcPr>
            <w:tcW w:w="845" w:type="dxa"/>
            <w:shd w:val="clear" w:color="auto" w:fill="FFFFFF"/>
            <w:vAlign w:val="center"/>
          </w:tcPr>
          <w:p>
            <w:pPr>
              <w:pStyle w:val="112"/>
              <w:spacing w:beforeLines="0" w:after="0" w:line="0" w:lineRule="atLeast"/>
              <w:ind w:left="0" w:leftChars="0"/>
            </w:pPr>
            <w:r>
              <w:rPr>
                <w:rFonts w:hint="eastAsia"/>
              </w:rPr>
              <w:t>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每千人拥有医生数</w:t>
            </w:r>
          </w:p>
        </w:tc>
        <w:tc>
          <w:tcPr>
            <w:tcW w:w="1104" w:type="dxa"/>
            <w:shd w:val="clear" w:color="auto" w:fill="FFFFFF"/>
            <w:vAlign w:val="center"/>
          </w:tcPr>
          <w:p>
            <w:pPr>
              <w:pStyle w:val="112"/>
              <w:spacing w:beforeLines="0" w:after="0" w:line="0" w:lineRule="atLeast"/>
              <w:ind w:left="0" w:leftChars="0"/>
            </w:pPr>
            <w:r>
              <w:rPr>
                <w:rFonts w:hint="eastAsia"/>
              </w:rPr>
              <w:t>人</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t>4.</w:t>
            </w:r>
            <w:r>
              <w:rPr>
                <w:rFonts w:hint="eastAsia"/>
              </w:rPr>
              <w:t>7</w:t>
            </w:r>
          </w:p>
        </w:tc>
        <w:tc>
          <w:tcPr>
            <w:tcW w:w="888" w:type="dxa"/>
            <w:shd w:val="clear" w:color="auto" w:fill="FFFFFF"/>
            <w:vAlign w:val="center"/>
          </w:tcPr>
          <w:p>
            <w:pPr>
              <w:pStyle w:val="112"/>
              <w:spacing w:beforeLines="0" w:after="0" w:line="0" w:lineRule="atLeast"/>
              <w:ind w:left="0" w:leftChars="0"/>
            </w:pPr>
            <w:r>
              <w:t>5.5</w:t>
            </w:r>
          </w:p>
        </w:tc>
        <w:tc>
          <w:tcPr>
            <w:tcW w:w="845" w:type="dxa"/>
            <w:shd w:val="clear" w:color="auto" w:fill="FFFFFF"/>
            <w:vAlign w:val="center"/>
          </w:tcPr>
          <w:p>
            <w:pPr>
              <w:pStyle w:val="112"/>
              <w:spacing w:beforeLines="0" w:after="0" w:line="0" w:lineRule="atLeast"/>
              <w:ind w:left="0" w:leftChars="0"/>
            </w:pPr>
            <w:r>
              <w:t>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restart"/>
            <w:shd w:val="clear" w:color="auto" w:fill="FFFFFF"/>
            <w:vAlign w:val="center"/>
          </w:tcPr>
          <w:p>
            <w:pPr>
              <w:pStyle w:val="112"/>
              <w:spacing w:beforeLines="0" w:after="0" w:line="0" w:lineRule="atLeast"/>
              <w:ind w:left="0" w:leftChars="0"/>
            </w:pPr>
            <w:r>
              <w:rPr>
                <w:rFonts w:hint="eastAsia"/>
              </w:rPr>
              <w:t>教育指标</w:t>
            </w:r>
          </w:p>
        </w:tc>
        <w:tc>
          <w:tcPr>
            <w:tcW w:w="3063" w:type="dxa"/>
            <w:shd w:val="clear" w:color="auto" w:fill="FFFFFF"/>
            <w:vAlign w:val="center"/>
          </w:tcPr>
          <w:p>
            <w:pPr>
              <w:pStyle w:val="112"/>
              <w:spacing w:beforeLines="0" w:after="0" w:line="0" w:lineRule="atLeast"/>
              <w:ind w:left="0" w:leftChars="0"/>
            </w:pPr>
            <w:r>
              <w:rPr>
                <w:rFonts w:hint="eastAsia"/>
              </w:rPr>
              <w:t>高中阶段教育毛入学率</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t>90.3</w:t>
            </w:r>
          </w:p>
        </w:tc>
        <w:tc>
          <w:tcPr>
            <w:tcW w:w="888" w:type="dxa"/>
            <w:shd w:val="clear" w:color="auto" w:fill="FFFFFF"/>
            <w:vAlign w:val="center"/>
          </w:tcPr>
          <w:p>
            <w:pPr>
              <w:pStyle w:val="112"/>
              <w:spacing w:beforeLines="0" w:after="0" w:line="0" w:lineRule="atLeast"/>
              <w:ind w:left="0" w:leftChars="0"/>
            </w:pPr>
            <w:r>
              <w:t>96.0</w:t>
            </w:r>
          </w:p>
        </w:tc>
        <w:tc>
          <w:tcPr>
            <w:tcW w:w="845" w:type="dxa"/>
            <w:shd w:val="clear" w:color="auto" w:fill="FFFFFF"/>
            <w:vAlign w:val="center"/>
          </w:tcPr>
          <w:p>
            <w:pPr>
              <w:pStyle w:val="112"/>
              <w:spacing w:beforeLines="0" w:after="0" w:line="0" w:lineRule="atLeast"/>
              <w:ind w:left="0" w:leftChars="0"/>
            </w:pPr>
            <w:r>
              <w:t>99.0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高等教育毛入学率</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t>35.0</w:t>
            </w:r>
          </w:p>
        </w:tc>
        <w:tc>
          <w:tcPr>
            <w:tcW w:w="888" w:type="dxa"/>
            <w:shd w:val="clear" w:color="auto" w:fill="FFFFFF"/>
            <w:vAlign w:val="center"/>
          </w:tcPr>
          <w:p>
            <w:pPr>
              <w:pStyle w:val="112"/>
              <w:spacing w:beforeLines="0" w:after="0" w:line="0" w:lineRule="atLeast"/>
              <w:ind w:left="0" w:leftChars="0"/>
            </w:pPr>
            <w:r>
              <w:t>40.0</w:t>
            </w:r>
          </w:p>
        </w:tc>
        <w:tc>
          <w:tcPr>
            <w:tcW w:w="845" w:type="dxa"/>
            <w:shd w:val="clear" w:color="auto" w:fill="FFFFFF"/>
            <w:vAlign w:val="center"/>
          </w:tcPr>
          <w:p>
            <w:pPr>
              <w:pStyle w:val="112"/>
              <w:spacing w:beforeLines="0" w:after="0" w:line="0" w:lineRule="atLeast"/>
              <w:ind w:left="0" w:leftChars="0"/>
            </w:pPr>
            <w:r>
              <w:t>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shd w:val="clear" w:color="auto" w:fill="FFFFFF"/>
            <w:vAlign w:val="center"/>
          </w:tcPr>
          <w:p>
            <w:pPr>
              <w:pStyle w:val="112"/>
              <w:spacing w:beforeLines="0" w:after="0" w:line="0" w:lineRule="atLeast"/>
              <w:ind w:left="0" w:leftChars="0"/>
            </w:pPr>
            <w:r>
              <w:rPr>
                <w:rFonts w:hint="eastAsia"/>
              </w:rPr>
              <w:t>居住指标</w:t>
            </w:r>
          </w:p>
        </w:tc>
        <w:tc>
          <w:tcPr>
            <w:tcW w:w="3063" w:type="dxa"/>
            <w:shd w:val="clear" w:color="auto" w:fill="FFFFFF"/>
            <w:vAlign w:val="center"/>
          </w:tcPr>
          <w:p>
            <w:pPr>
              <w:pStyle w:val="112"/>
              <w:spacing w:beforeLines="0" w:after="0" w:line="0" w:lineRule="atLeast"/>
              <w:ind w:left="0" w:leftChars="0"/>
            </w:pPr>
            <w:r>
              <w:rPr>
                <w:rFonts w:hint="eastAsia"/>
              </w:rPr>
              <w:t>城市人均住宅建筑面积(中心城区)</w:t>
            </w:r>
          </w:p>
        </w:tc>
        <w:tc>
          <w:tcPr>
            <w:tcW w:w="1104" w:type="dxa"/>
            <w:shd w:val="clear" w:color="auto" w:fill="FFFFFF"/>
            <w:vAlign w:val="center"/>
          </w:tcPr>
          <w:p>
            <w:pPr>
              <w:pStyle w:val="112"/>
              <w:spacing w:beforeLines="0" w:after="0" w:line="0" w:lineRule="atLeast"/>
              <w:ind w:left="0" w:leftChars="0"/>
            </w:pPr>
            <w:r>
              <w:rPr>
                <w:rFonts w:hint="eastAsia"/>
              </w:rPr>
              <w:t>平方米</w:t>
            </w:r>
            <w:r>
              <w:t>/</w:t>
            </w:r>
            <w:r>
              <w:rPr>
                <w:rFonts w:hint="eastAsia"/>
              </w:rPr>
              <w:t>人</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rPr>
                <w:rFonts w:hint="eastAsia"/>
              </w:rPr>
              <w:t>32</w:t>
            </w:r>
          </w:p>
        </w:tc>
        <w:tc>
          <w:tcPr>
            <w:tcW w:w="845" w:type="dxa"/>
            <w:shd w:val="clear" w:color="auto" w:fill="FFFFFF"/>
            <w:vAlign w:val="center"/>
          </w:tcPr>
          <w:p>
            <w:pPr>
              <w:pStyle w:val="112"/>
              <w:spacing w:beforeLines="0" w:after="0" w:line="0" w:lineRule="atLeast"/>
              <w:ind w:left="0" w:leftChars="0"/>
            </w:pPr>
            <w:r>
              <w:rPr>
                <w:rFonts w:hint="eastAsia"/>
              </w:rPr>
              <w:t>35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shd w:val="clear" w:color="auto" w:fill="FFFFFF"/>
            <w:vAlign w:val="center"/>
          </w:tcPr>
          <w:p>
            <w:pPr>
              <w:pStyle w:val="112"/>
              <w:spacing w:beforeLines="0" w:after="0" w:line="0" w:lineRule="atLeast"/>
              <w:ind w:left="0" w:leftChars="0"/>
            </w:pPr>
            <w:r>
              <w:rPr>
                <w:rFonts w:hint="eastAsia"/>
              </w:rPr>
              <w:t>就业指标</w:t>
            </w:r>
          </w:p>
        </w:tc>
        <w:tc>
          <w:tcPr>
            <w:tcW w:w="3063" w:type="dxa"/>
            <w:shd w:val="clear" w:color="auto" w:fill="FFFFFF"/>
            <w:vAlign w:val="center"/>
          </w:tcPr>
          <w:p>
            <w:pPr>
              <w:pStyle w:val="112"/>
              <w:spacing w:beforeLines="0" w:after="0" w:line="0" w:lineRule="atLeast"/>
              <w:ind w:left="0" w:leftChars="0"/>
            </w:pPr>
            <w:r>
              <w:rPr>
                <w:rFonts w:hint="eastAsia"/>
              </w:rPr>
              <w:t>失业率（城镇人口）</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vAlign w:val="center"/>
          </w:tcPr>
          <w:p>
            <w:pPr>
              <w:pStyle w:val="112"/>
              <w:spacing w:beforeLines="0" w:after="0" w:line="0" w:lineRule="atLeast"/>
              <w:ind w:left="0" w:leftChars="0"/>
            </w:pPr>
            <w:r>
              <w:rPr>
                <w:rFonts w:hint="eastAsia"/>
              </w:rPr>
              <w:t>引导型</w:t>
            </w:r>
          </w:p>
        </w:tc>
        <w:tc>
          <w:tcPr>
            <w:tcW w:w="793" w:type="dxa"/>
            <w:shd w:val="clear" w:color="auto" w:fill="FFFFFF"/>
            <w:vAlign w:val="center"/>
          </w:tcPr>
          <w:p>
            <w:pPr>
              <w:pStyle w:val="112"/>
              <w:spacing w:beforeLines="0" w:after="0" w:line="0" w:lineRule="atLeast"/>
              <w:ind w:left="0" w:leftChars="0"/>
            </w:pPr>
            <w:r>
              <w:t>1.97</w:t>
            </w:r>
          </w:p>
        </w:tc>
        <w:tc>
          <w:tcPr>
            <w:tcW w:w="888" w:type="dxa"/>
            <w:shd w:val="clear" w:color="auto" w:fill="FFFFFF"/>
            <w:vAlign w:val="center"/>
          </w:tcPr>
          <w:p>
            <w:pPr>
              <w:pStyle w:val="112"/>
              <w:spacing w:beforeLines="0" w:after="0" w:line="0" w:lineRule="atLeast"/>
              <w:ind w:left="0" w:leftChars="0"/>
            </w:pPr>
            <w:r>
              <w:t>&lt;4</w:t>
            </w:r>
          </w:p>
        </w:tc>
        <w:tc>
          <w:tcPr>
            <w:tcW w:w="845" w:type="dxa"/>
            <w:shd w:val="clear" w:color="auto" w:fill="FFFFFF"/>
            <w:vAlign w:val="center"/>
          </w:tcPr>
          <w:p>
            <w:pPr>
              <w:pStyle w:val="112"/>
              <w:spacing w:beforeLines="0" w:after="0" w:line="0" w:lineRule="atLeast"/>
              <w:ind w:left="0" w:leftChars="0"/>
            </w:pPr>
            <w:r>
              <w:t>&lt;4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shd w:val="clear" w:color="auto" w:fill="FFFFFF"/>
            <w:vAlign w:val="center"/>
          </w:tcPr>
          <w:p>
            <w:pPr>
              <w:pStyle w:val="112"/>
              <w:spacing w:beforeLines="0" w:after="0" w:line="0" w:lineRule="atLeast"/>
              <w:ind w:left="0" w:leftChars="0"/>
            </w:pPr>
            <w:r>
              <w:rPr>
                <w:rFonts w:hint="eastAsia"/>
              </w:rPr>
              <w:t>公共交通指标</w:t>
            </w:r>
          </w:p>
        </w:tc>
        <w:tc>
          <w:tcPr>
            <w:tcW w:w="3063" w:type="dxa"/>
            <w:shd w:val="clear" w:color="auto" w:fill="FFFFFF"/>
            <w:vAlign w:val="center"/>
          </w:tcPr>
          <w:p>
            <w:pPr>
              <w:pStyle w:val="112"/>
              <w:spacing w:beforeLines="0" w:after="0" w:line="0" w:lineRule="atLeast"/>
              <w:ind w:left="0" w:leftChars="0"/>
            </w:pPr>
            <w:r>
              <w:rPr>
                <w:rFonts w:hint="eastAsia"/>
              </w:rPr>
              <w:t>公交出行率（中心城区）</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15</w:t>
            </w:r>
          </w:p>
        </w:tc>
        <w:tc>
          <w:tcPr>
            <w:tcW w:w="888" w:type="dxa"/>
            <w:shd w:val="clear" w:color="auto" w:fill="FFFFFF"/>
            <w:vAlign w:val="center"/>
          </w:tcPr>
          <w:p>
            <w:pPr>
              <w:pStyle w:val="112"/>
              <w:spacing w:beforeLines="0" w:after="0" w:line="0" w:lineRule="atLeast"/>
              <w:ind w:left="0" w:leftChars="0"/>
            </w:pPr>
            <w:r>
              <w:rPr>
                <w:rFonts w:hint="eastAsia"/>
              </w:rPr>
              <w:t>20</w:t>
            </w:r>
          </w:p>
        </w:tc>
        <w:tc>
          <w:tcPr>
            <w:tcW w:w="845" w:type="dxa"/>
            <w:shd w:val="clear" w:color="auto" w:fill="FFFFFF"/>
            <w:vAlign w:val="center"/>
          </w:tcPr>
          <w:p>
            <w:pPr>
              <w:pStyle w:val="112"/>
              <w:spacing w:beforeLines="0" w:after="0" w:line="0" w:lineRule="atLeast"/>
              <w:ind w:left="0" w:leftChars="0"/>
            </w:pPr>
            <w:r>
              <w:rPr>
                <w:rFonts w:hint="eastAsia"/>
              </w:rPr>
              <w:t>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restart"/>
            <w:shd w:val="clear" w:color="auto" w:fill="FFFFFF"/>
            <w:vAlign w:val="center"/>
          </w:tcPr>
          <w:p>
            <w:pPr>
              <w:pStyle w:val="112"/>
              <w:spacing w:beforeLines="0" w:after="0" w:line="0" w:lineRule="atLeast"/>
              <w:ind w:left="0" w:leftChars="0"/>
            </w:pPr>
            <w:r>
              <w:rPr>
                <w:rFonts w:hint="eastAsia"/>
              </w:rPr>
              <w:t>公共服务指标</w:t>
            </w:r>
          </w:p>
        </w:tc>
        <w:tc>
          <w:tcPr>
            <w:tcW w:w="3063" w:type="dxa"/>
            <w:shd w:val="clear" w:color="auto" w:fill="FFFFFF"/>
            <w:vAlign w:val="center"/>
          </w:tcPr>
          <w:p>
            <w:pPr>
              <w:pStyle w:val="112"/>
              <w:spacing w:beforeLines="0" w:after="0" w:line="0" w:lineRule="atLeast"/>
              <w:ind w:left="0" w:leftChars="0"/>
            </w:pPr>
            <w:r>
              <w:rPr>
                <w:rFonts w:hint="eastAsia"/>
              </w:rPr>
              <w:t>文化设施人均用地面积（中心城区）</w:t>
            </w:r>
          </w:p>
        </w:tc>
        <w:tc>
          <w:tcPr>
            <w:tcW w:w="1104" w:type="dxa"/>
            <w:shd w:val="clear" w:color="auto" w:fill="FFFFFF"/>
            <w:vAlign w:val="center"/>
          </w:tcPr>
          <w:p>
            <w:pPr>
              <w:pStyle w:val="112"/>
              <w:spacing w:beforeLines="0" w:after="0" w:line="0" w:lineRule="atLeast"/>
              <w:ind w:left="0" w:leftChars="0"/>
            </w:pPr>
            <w:r>
              <w:rPr>
                <w:rFonts w:hint="eastAsia"/>
              </w:rPr>
              <w:t>平方米</w:t>
            </w:r>
            <w:r>
              <w:t>/</w:t>
            </w:r>
            <w:r>
              <w:rPr>
                <w:rFonts w:hint="eastAsia"/>
              </w:rPr>
              <w:t>人</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0.16</w:t>
            </w:r>
          </w:p>
        </w:tc>
        <w:tc>
          <w:tcPr>
            <w:tcW w:w="888" w:type="dxa"/>
            <w:shd w:val="clear" w:color="auto" w:fill="FFFFFF"/>
            <w:vAlign w:val="center"/>
          </w:tcPr>
          <w:p>
            <w:pPr>
              <w:pStyle w:val="112"/>
              <w:spacing w:beforeLines="0" w:after="0" w:line="0" w:lineRule="atLeast"/>
              <w:ind w:left="0" w:leftChars="0"/>
            </w:pPr>
            <w:r>
              <w:rPr>
                <w:rFonts w:hint="eastAsia"/>
              </w:rPr>
              <w:t>0.75</w:t>
            </w:r>
          </w:p>
        </w:tc>
        <w:tc>
          <w:tcPr>
            <w:tcW w:w="845" w:type="dxa"/>
            <w:shd w:val="clear" w:color="auto" w:fill="FFFFFF"/>
            <w:vAlign w:val="center"/>
          </w:tcPr>
          <w:p>
            <w:pPr>
              <w:pStyle w:val="112"/>
              <w:spacing w:beforeLines="0" w:after="0" w:line="0" w:lineRule="atLeast"/>
              <w:ind w:left="0" w:leftChars="0"/>
            </w:pPr>
            <w:r>
              <w:rPr>
                <w:rFonts w:hint="eastAsia"/>
              </w:rPr>
              <w:t>0.81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教育科研设施人均用地面积（中心城区）</w:t>
            </w:r>
          </w:p>
        </w:tc>
        <w:tc>
          <w:tcPr>
            <w:tcW w:w="1104" w:type="dxa"/>
            <w:shd w:val="clear" w:color="auto" w:fill="FFFFFF"/>
            <w:vAlign w:val="center"/>
          </w:tcPr>
          <w:p>
            <w:pPr>
              <w:pStyle w:val="112"/>
              <w:spacing w:beforeLines="0" w:after="0" w:line="0" w:lineRule="atLeast"/>
              <w:ind w:left="0" w:leftChars="0"/>
            </w:pPr>
            <w:r>
              <w:rPr>
                <w:rFonts w:hint="eastAsia"/>
              </w:rPr>
              <w:t>平方米</w:t>
            </w:r>
            <w:r>
              <w:t>/</w:t>
            </w:r>
            <w:r>
              <w:rPr>
                <w:rFonts w:hint="eastAsia"/>
              </w:rPr>
              <w:t>人</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12</w:t>
            </w:r>
          </w:p>
        </w:tc>
        <w:tc>
          <w:tcPr>
            <w:tcW w:w="888" w:type="dxa"/>
            <w:shd w:val="clear" w:color="auto" w:fill="FFFFFF"/>
            <w:vAlign w:val="center"/>
          </w:tcPr>
          <w:p>
            <w:pPr>
              <w:pStyle w:val="112"/>
              <w:spacing w:beforeLines="0" w:after="0" w:line="0" w:lineRule="atLeast"/>
              <w:ind w:left="0" w:leftChars="0"/>
            </w:pPr>
            <w:r>
              <w:rPr>
                <w:rFonts w:hint="eastAsia"/>
              </w:rPr>
              <w:t>11</w:t>
            </w:r>
          </w:p>
        </w:tc>
        <w:tc>
          <w:tcPr>
            <w:tcW w:w="845" w:type="dxa"/>
            <w:shd w:val="clear" w:color="auto" w:fill="FFFFFF"/>
            <w:vAlign w:val="center"/>
          </w:tcPr>
          <w:p>
            <w:pPr>
              <w:pStyle w:val="112"/>
              <w:spacing w:beforeLines="0" w:after="0" w:line="0" w:lineRule="atLeast"/>
              <w:ind w:left="0" w:leftChars="0"/>
            </w:pPr>
            <w:r>
              <w:rPr>
                <w:rFonts w:hint="eastAsia"/>
              </w:rPr>
              <w:t>10.</w:t>
            </w:r>
            <w:r>
              <w:t>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医疗设施人均用地面积（中心城区）</w:t>
            </w:r>
          </w:p>
        </w:tc>
        <w:tc>
          <w:tcPr>
            <w:tcW w:w="1104" w:type="dxa"/>
            <w:shd w:val="clear" w:color="auto" w:fill="FFFFFF"/>
            <w:vAlign w:val="center"/>
          </w:tcPr>
          <w:p>
            <w:pPr>
              <w:pStyle w:val="112"/>
              <w:spacing w:beforeLines="0" w:after="0" w:line="0" w:lineRule="atLeast"/>
              <w:ind w:left="0" w:leftChars="0"/>
            </w:pPr>
            <w:r>
              <w:rPr>
                <w:rFonts w:hint="eastAsia"/>
              </w:rPr>
              <w:t>平方米</w:t>
            </w:r>
            <w:r>
              <w:t>/</w:t>
            </w:r>
            <w:r>
              <w:rPr>
                <w:rFonts w:hint="eastAsia"/>
              </w:rPr>
              <w:t>人</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0.61</w:t>
            </w:r>
          </w:p>
        </w:tc>
        <w:tc>
          <w:tcPr>
            <w:tcW w:w="888" w:type="dxa"/>
            <w:shd w:val="clear" w:color="auto" w:fill="FFFFFF"/>
            <w:vAlign w:val="center"/>
          </w:tcPr>
          <w:p>
            <w:pPr>
              <w:pStyle w:val="112"/>
              <w:spacing w:beforeLines="0" w:after="0" w:line="0" w:lineRule="atLeast"/>
              <w:ind w:left="0" w:leftChars="0"/>
            </w:pPr>
            <w:r>
              <w:rPr>
                <w:rFonts w:hint="eastAsia"/>
              </w:rPr>
              <w:t>0.80</w:t>
            </w:r>
          </w:p>
        </w:tc>
        <w:tc>
          <w:tcPr>
            <w:tcW w:w="845" w:type="dxa"/>
            <w:shd w:val="clear" w:color="auto" w:fill="FFFFFF"/>
            <w:vAlign w:val="center"/>
          </w:tcPr>
          <w:p>
            <w:pPr>
              <w:pStyle w:val="112"/>
              <w:spacing w:beforeLines="0" w:after="0" w:line="0" w:lineRule="atLeast"/>
              <w:ind w:left="0" w:leftChars="0"/>
            </w:pPr>
            <w:r>
              <w:rPr>
                <w:rFonts w:hint="eastAsia"/>
              </w:rPr>
              <w:t>1.0</w:t>
            </w:r>
            <w: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体育设施人均用地面积（中心城区）</w:t>
            </w:r>
          </w:p>
        </w:tc>
        <w:tc>
          <w:tcPr>
            <w:tcW w:w="1104" w:type="dxa"/>
            <w:shd w:val="clear" w:color="auto" w:fill="FFFFFF"/>
            <w:vAlign w:val="center"/>
          </w:tcPr>
          <w:p>
            <w:pPr>
              <w:pStyle w:val="112"/>
              <w:spacing w:beforeLines="0" w:after="0" w:line="0" w:lineRule="atLeast"/>
              <w:ind w:left="0" w:leftChars="0"/>
            </w:pPr>
            <w:r>
              <w:rPr>
                <w:rFonts w:hint="eastAsia"/>
              </w:rPr>
              <w:t>平方米</w:t>
            </w:r>
            <w:r>
              <w:t>/</w:t>
            </w:r>
            <w:r>
              <w:rPr>
                <w:rFonts w:hint="eastAsia"/>
              </w:rPr>
              <w:t>人</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0.48</w:t>
            </w:r>
          </w:p>
        </w:tc>
        <w:tc>
          <w:tcPr>
            <w:tcW w:w="888" w:type="dxa"/>
            <w:shd w:val="clear" w:color="auto" w:fill="FFFFFF"/>
            <w:vAlign w:val="center"/>
          </w:tcPr>
          <w:p>
            <w:pPr>
              <w:pStyle w:val="112"/>
              <w:spacing w:beforeLines="0" w:after="0" w:line="0" w:lineRule="atLeast"/>
              <w:ind w:left="0" w:leftChars="0"/>
            </w:pPr>
            <w:r>
              <w:rPr>
                <w:rFonts w:hint="eastAsia"/>
              </w:rPr>
              <w:t>0.</w:t>
            </w:r>
            <w:r>
              <w:t>55</w:t>
            </w:r>
          </w:p>
        </w:tc>
        <w:tc>
          <w:tcPr>
            <w:tcW w:w="845" w:type="dxa"/>
            <w:shd w:val="clear" w:color="auto" w:fill="FFFFFF"/>
            <w:vAlign w:val="center"/>
          </w:tcPr>
          <w:p>
            <w:pPr>
              <w:pStyle w:val="112"/>
              <w:spacing w:beforeLines="0" w:after="0" w:line="0" w:lineRule="atLeast"/>
              <w:ind w:left="0" w:leftChars="0"/>
            </w:pPr>
            <w:r>
              <w:rPr>
                <w:rFonts w:hint="eastAsia"/>
              </w:rPr>
              <w:t>0.</w:t>
            </w:r>
            <w:r>
              <w:t>62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人均避难场所用地（中心城区）</w:t>
            </w:r>
          </w:p>
        </w:tc>
        <w:tc>
          <w:tcPr>
            <w:tcW w:w="1104" w:type="dxa"/>
            <w:shd w:val="clear" w:color="auto" w:fill="FFFFFF"/>
            <w:vAlign w:val="center"/>
          </w:tcPr>
          <w:p>
            <w:pPr>
              <w:pStyle w:val="112"/>
              <w:spacing w:beforeLines="0" w:after="0" w:line="0" w:lineRule="atLeast"/>
              <w:ind w:left="0" w:leftChars="0"/>
            </w:pPr>
            <w:r>
              <w:rPr>
                <w:rFonts w:hint="eastAsia"/>
              </w:rPr>
              <w:t>平方米</w:t>
            </w:r>
            <w:r>
              <w:t>/</w:t>
            </w:r>
            <w:r>
              <w:rPr>
                <w:rFonts w:hint="eastAsia"/>
              </w:rPr>
              <w:t>人</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1.0</w:t>
            </w:r>
          </w:p>
        </w:tc>
        <w:tc>
          <w:tcPr>
            <w:tcW w:w="888" w:type="dxa"/>
            <w:shd w:val="clear" w:color="auto" w:fill="FFFFFF"/>
            <w:vAlign w:val="center"/>
          </w:tcPr>
          <w:p>
            <w:pPr>
              <w:pStyle w:val="112"/>
              <w:spacing w:beforeLines="0" w:after="0" w:line="0" w:lineRule="atLeast"/>
              <w:ind w:left="0" w:leftChars="0"/>
            </w:pPr>
            <w:r>
              <w:rPr>
                <w:rFonts w:hint="eastAsia"/>
              </w:rPr>
              <w:t>2.0</w:t>
            </w:r>
          </w:p>
        </w:tc>
        <w:tc>
          <w:tcPr>
            <w:tcW w:w="845" w:type="dxa"/>
            <w:shd w:val="clear" w:color="auto" w:fill="FFFFFF"/>
            <w:vAlign w:val="center"/>
          </w:tcPr>
          <w:p>
            <w:pPr>
              <w:pStyle w:val="112"/>
              <w:spacing w:beforeLines="0" w:after="0" w:line="0" w:lineRule="atLeast"/>
              <w:ind w:left="0" w:leftChars="0"/>
            </w:pPr>
            <w:r>
              <w:rPr>
                <w:rFonts w:hint="eastAsia"/>
              </w:rPr>
              <w:t>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城市社会综合服务设施覆盖率</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vAlign w:val="center"/>
          </w:tcPr>
          <w:p>
            <w:pPr>
              <w:pStyle w:val="112"/>
              <w:spacing w:beforeLines="0" w:after="0" w:line="0" w:lineRule="atLeast"/>
              <w:ind w:left="0" w:leftChars="0"/>
            </w:pPr>
            <w:r>
              <w:rPr>
                <w:rFonts w:hint="eastAsia"/>
              </w:rPr>
              <w:t>控制性</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rPr>
                <w:rFonts w:hint="eastAsia"/>
              </w:rPr>
              <w:t>100</w:t>
            </w:r>
          </w:p>
        </w:tc>
        <w:tc>
          <w:tcPr>
            <w:tcW w:w="845" w:type="dxa"/>
            <w:shd w:val="clear" w:color="auto" w:fill="FFFFFF"/>
            <w:vAlign w:val="center"/>
          </w:tcPr>
          <w:p>
            <w:pPr>
              <w:pStyle w:val="112"/>
              <w:spacing w:beforeLines="0" w:after="0" w:line="0" w:lineRule="atLeast"/>
              <w:ind w:left="0" w:leftChars="0"/>
            </w:pPr>
            <w:r>
              <w:rPr>
                <w:rFonts w:hint="eastAsia"/>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restart"/>
            <w:shd w:val="clear" w:color="auto" w:fill="FFFFFF"/>
            <w:vAlign w:val="center"/>
          </w:tcPr>
          <w:p>
            <w:pPr>
              <w:pStyle w:val="112"/>
              <w:spacing w:beforeLines="0" w:after="0" w:line="0" w:lineRule="atLeast"/>
              <w:ind w:left="0" w:leftChars="0"/>
            </w:pPr>
            <w:r>
              <w:rPr>
                <w:rFonts w:hint="eastAsia"/>
              </w:rPr>
              <w:t>社会保障指标</w:t>
            </w:r>
          </w:p>
        </w:tc>
        <w:tc>
          <w:tcPr>
            <w:tcW w:w="3063" w:type="dxa"/>
            <w:shd w:val="clear" w:color="auto" w:fill="FFFFFF"/>
            <w:vAlign w:val="center"/>
          </w:tcPr>
          <w:p>
            <w:pPr>
              <w:pStyle w:val="112"/>
              <w:spacing w:beforeLines="0" w:after="0" w:line="0" w:lineRule="atLeast"/>
              <w:ind w:left="0" w:leftChars="0"/>
            </w:pPr>
            <w:r>
              <w:rPr>
                <w:rFonts w:hint="eastAsia"/>
              </w:rPr>
              <w:t>农民工随迁子女接受义务教育比例</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rPr>
                <w:rFonts w:hint="eastAsia"/>
              </w:rPr>
              <w:t>≥99</w:t>
            </w:r>
          </w:p>
        </w:tc>
        <w:tc>
          <w:tcPr>
            <w:tcW w:w="845" w:type="dxa"/>
            <w:shd w:val="clear" w:color="auto" w:fill="FFFFFF"/>
            <w:vAlign w:val="center"/>
          </w:tcPr>
          <w:p>
            <w:pPr>
              <w:pStyle w:val="112"/>
              <w:spacing w:beforeLines="0" w:after="0" w:line="0" w:lineRule="atLeast"/>
              <w:ind w:left="0" w:leftChars="0"/>
            </w:pPr>
            <w:r>
              <w:rPr>
                <w:rFonts w:hint="eastAsia"/>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城镇失业人员、农民工、新成长劳动力免费接受基本职业技能培训覆盖率</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rPr>
                <w:rFonts w:hint="eastAsia"/>
              </w:rPr>
              <w:t>≥95</w:t>
            </w:r>
          </w:p>
        </w:tc>
        <w:tc>
          <w:tcPr>
            <w:tcW w:w="845" w:type="dxa"/>
            <w:shd w:val="clear" w:color="auto" w:fill="FFFFFF"/>
            <w:vAlign w:val="center"/>
          </w:tcPr>
          <w:p>
            <w:pPr>
              <w:pStyle w:val="112"/>
              <w:spacing w:beforeLines="0" w:after="0" w:line="0" w:lineRule="atLeast"/>
              <w:ind w:left="0" w:leftChars="0"/>
            </w:pPr>
            <w:r>
              <w:rPr>
                <w:rFonts w:hint="eastAsia"/>
              </w:rPr>
              <w:t>≥95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城镇常住人口基本养老保险覆盖率</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rPr>
                <w:rFonts w:hint="eastAsia"/>
              </w:rPr>
              <w:t>≥90</w:t>
            </w:r>
          </w:p>
        </w:tc>
        <w:tc>
          <w:tcPr>
            <w:tcW w:w="845" w:type="dxa"/>
            <w:shd w:val="clear" w:color="auto" w:fill="FFFFFF"/>
            <w:vAlign w:val="center"/>
          </w:tcPr>
          <w:p>
            <w:pPr>
              <w:pStyle w:val="112"/>
              <w:spacing w:beforeLines="0" w:after="0" w:line="0" w:lineRule="atLeast"/>
              <w:ind w:left="0" w:leftChars="0"/>
            </w:pPr>
            <w:r>
              <w:rPr>
                <w:rFonts w:hint="eastAsia"/>
              </w:rPr>
              <w:t>≥95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城镇常住人口基本医疗保险覆盖率</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rPr>
                <w:rFonts w:hint="eastAsia"/>
              </w:rPr>
              <w:t>98</w:t>
            </w:r>
          </w:p>
        </w:tc>
        <w:tc>
          <w:tcPr>
            <w:tcW w:w="845" w:type="dxa"/>
            <w:shd w:val="clear" w:color="auto" w:fill="FFFFFF"/>
            <w:vAlign w:val="center"/>
          </w:tcPr>
          <w:p>
            <w:pPr>
              <w:pStyle w:val="112"/>
              <w:spacing w:beforeLines="0" w:after="0" w:line="0" w:lineRule="atLeast"/>
              <w:ind w:left="0" w:leftChars="0"/>
            </w:pPr>
            <w:r>
              <w:rPr>
                <w:rFonts w:hint="eastAsia"/>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城镇常住人口保障性住房覆盖率</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rPr>
                <w:rFonts w:hint="eastAsia"/>
              </w:rPr>
              <w:t>≥23</w:t>
            </w:r>
          </w:p>
        </w:tc>
        <w:tc>
          <w:tcPr>
            <w:tcW w:w="845" w:type="dxa"/>
            <w:shd w:val="clear" w:color="auto" w:fill="FFFFFF"/>
            <w:vAlign w:val="center"/>
          </w:tcPr>
          <w:p>
            <w:pPr>
              <w:pStyle w:val="112"/>
              <w:spacing w:beforeLines="0" w:after="0" w:line="0" w:lineRule="atLeast"/>
              <w:ind w:left="0" w:leftChars="0"/>
            </w:pPr>
            <w:r>
              <w:rPr>
                <w:rFonts w:hint="eastAsia"/>
              </w:rPr>
              <w:t>≥25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restart"/>
            <w:shd w:val="clear" w:color="auto" w:fill="FFFFFF"/>
            <w:vAlign w:val="center"/>
          </w:tcPr>
          <w:p>
            <w:pPr>
              <w:pStyle w:val="112"/>
              <w:spacing w:beforeLines="0" w:after="0" w:line="0" w:lineRule="atLeast"/>
              <w:ind w:left="0" w:leftChars="0"/>
            </w:pPr>
            <w:r>
              <w:rPr>
                <w:rFonts w:hint="eastAsia"/>
              </w:rPr>
              <w:t>资源指标</w:t>
            </w:r>
          </w:p>
        </w:tc>
        <w:tc>
          <w:tcPr>
            <w:tcW w:w="682" w:type="dxa"/>
            <w:vMerge w:val="restart"/>
            <w:shd w:val="clear" w:color="auto" w:fill="FFFFFF"/>
            <w:vAlign w:val="center"/>
          </w:tcPr>
          <w:p>
            <w:pPr>
              <w:pStyle w:val="112"/>
              <w:spacing w:beforeLines="0" w:after="0" w:line="0" w:lineRule="atLeast"/>
              <w:ind w:left="0" w:leftChars="0"/>
            </w:pPr>
            <w:r>
              <w:rPr>
                <w:rFonts w:hint="eastAsia"/>
              </w:rPr>
              <w:t>水资源指标</w:t>
            </w:r>
          </w:p>
        </w:tc>
        <w:tc>
          <w:tcPr>
            <w:tcW w:w="3063" w:type="dxa"/>
            <w:shd w:val="clear" w:color="auto" w:fill="FFFFFF"/>
            <w:vAlign w:val="center"/>
          </w:tcPr>
          <w:p>
            <w:pPr>
              <w:pStyle w:val="112"/>
              <w:spacing w:beforeLines="0" w:after="0" w:line="0" w:lineRule="atLeast"/>
              <w:ind w:left="0" w:leftChars="0"/>
            </w:pPr>
            <w:r>
              <w:rPr>
                <w:rFonts w:hint="eastAsia"/>
              </w:rPr>
              <w:t>地区性可供水量</w:t>
            </w:r>
          </w:p>
        </w:tc>
        <w:tc>
          <w:tcPr>
            <w:tcW w:w="1104" w:type="dxa"/>
            <w:shd w:val="clear" w:color="auto" w:fill="FFFFFF"/>
            <w:vAlign w:val="center"/>
          </w:tcPr>
          <w:p>
            <w:pPr>
              <w:pStyle w:val="112"/>
              <w:spacing w:beforeLines="0" w:after="0" w:line="0" w:lineRule="atLeast"/>
              <w:ind w:left="0" w:leftChars="0"/>
            </w:pPr>
            <w:r>
              <w:rPr>
                <w:rFonts w:hint="eastAsia"/>
              </w:rPr>
              <w:t>亿立方米</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9.07</w:t>
            </w:r>
          </w:p>
        </w:tc>
        <w:tc>
          <w:tcPr>
            <w:tcW w:w="888" w:type="dxa"/>
            <w:shd w:val="clear" w:color="auto" w:fill="FFFFFF"/>
            <w:vAlign w:val="center"/>
          </w:tcPr>
          <w:p>
            <w:pPr>
              <w:pStyle w:val="112"/>
              <w:spacing w:beforeLines="0" w:after="0" w:line="0" w:lineRule="atLeast"/>
              <w:ind w:left="0" w:leftChars="0"/>
            </w:pPr>
            <w:r>
              <w:rPr>
                <w:rFonts w:hint="eastAsia"/>
              </w:rPr>
              <w:t>9.34</w:t>
            </w:r>
          </w:p>
        </w:tc>
        <w:tc>
          <w:tcPr>
            <w:tcW w:w="845" w:type="dxa"/>
            <w:shd w:val="clear" w:color="auto" w:fill="FFFFFF"/>
            <w:vAlign w:val="center"/>
          </w:tcPr>
          <w:p>
            <w:pPr>
              <w:pStyle w:val="112"/>
              <w:spacing w:beforeLines="0" w:after="0" w:line="0" w:lineRule="atLeast"/>
              <w:ind w:left="0" w:leftChars="0"/>
            </w:pPr>
            <w:r>
              <w:rPr>
                <w:rFonts w:hint="eastAsia"/>
              </w:rPr>
              <w:t>9.55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万元</w:t>
            </w:r>
            <w:r>
              <w:t>GDP</w:t>
            </w:r>
            <w:r>
              <w:rPr>
                <w:rFonts w:hint="eastAsia"/>
              </w:rPr>
              <w:t>耗水量</w:t>
            </w:r>
          </w:p>
        </w:tc>
        <w:tc>
          <w:tcPr>
            <w:tcW w:w="1104" w:type="dxa"/>
            <w:shd w:val="clear" w:color="auto" w:fill="FFFFFF"/>
            <w:vAlign w:val="center"/>
          </w:tcPr>
          <w:p>
            <w:pPr>
              <w:pStyle w:val="112"/>
              <w:spacing w:beforeLines="0" w:after="0" w:line="0" w:lineRule="atLeast"/>
              <w:ind w:left="0" w:leftChars="0"/>
            </w:pPr>
            <w:r>
              <w:rPr>
                <w:rFonts w:hint="eastAsia"/>
              </w:rPr>
              <w:t>立方米</w:t>
            </w:r>
            <w:r>
              <w:t>/</w:t>
            </w:r>
            <w:r>
              <w:rPr>
                <w:rFonts w:hint="eastAsia"/>
              </w:rPr>
              <w:t>万元</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91.6</w:t>
            </w:r>
          </w:p>
        </w:tc>
        <w:tc>
          <w:tcPr>
            <w:tcW w:w="888" w:type="dxa"/>
            <w:shd w:val="clear" w:color="auto" w:fill="FFFFFF"/>
            <w:vAlign w:val="center"/>
          </w:tcPr>
          <w:p>
            <w:pPr>
              <w:pStyle w:val="112"/>
              <w:spacing w:beforeLines="0" w:after="0" w:line="0" w:lineRule="atLeast"/>
              <w:ind w:left="0" w:leftChars="0"/>
            </w:pPr>
            <w:r>
              <w:rPr>
                <w:rFonts w:hint="eastAsia"/>
              </w:rPr>
              <w:t>46.7</w:t>
            </w:r>
          </w:p>
        </w:tc>
        <w:tc>
          <w:tcPr>
            <w:tcW w:w="845" w:type="dxa"/>
            <w:shd w:val="clear" w:color="auto" w:fill="FFFFFF"/>
            <w:vAlign w:val="center"/>
          </w:tcPr>
          <w:p>
            <w:pPr>
              <w:pStyle w:val="112"/>
              <w:spacing w:beforeLines="0" w:after="0" w:line="0" w:lineRule="atLeast"/>
              <w:ind w:left="0" w:leftChars="0"/>
            </w:pPr>
            <w:r>
              <w:rPr>
                <w:rFonts w:hint="eastAsia"/>
              </w:rPr>
              <w:t>23.9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中水回用率（中心城区</w:t>
            </w:r>
            <w:r>
              <w:t>）</w:t>
            </w:r>
          </w:p>
        </w:tc>
        <w:tc>
          <w:tcPr>
            <w:tcW w:w="1104" w:type="dxa"/>
            <w:shd w:val="clear" w:color="auto" w:fill="FFFFFF"/>
            <w:vAlign w:val="center"/>
          </w:tcPr>
          <w:p>
            <w:pPr>
              <w:pStyle w:val="112"/>
              <w:spacing w:beforeLines="0" w:after="0" w:line="0" w:lineRule="atLeast"/>
              <w:ind w:left="0" w:leftChars="0"/>
            </w:pPr>
            <w:r>
              <w:t>%</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50</w:t>
            </w:r>
          </w:p>
        </w:tc>
        <w:tc>
          <w:tcPr>
            <w:tcW w:w="888" w:type="dxa"/>
            <w:shd w:val="clear" w:color="auto" w:fill="FFFFFF"/>
            <w:vAlign w:val="center"/>
          </w:tcPr>
          <w:p>
            <w:pPr>
              <w:pStyle w:val="112"/>
              <w:spacing w:beforeLines="0" w:after="0" w:line="0" w:lineRule="atLeast"/>
              <w:ind w:left="0" w:leftChars="0"/>
            </w:pPr>
            <w:r>
              <w:t>55</w:t>
            </w:r>
          </w:p>
        </w:tc>
        <w:tc>
          <w:tcPr>
            <w:tcW w:w="845" w:type="dxa"/>
            <w:shd w:val="clear" w:color="auto" w:fill="FFFFFF"/>
            <w:vAlign w:val="center"/>
          </w:tcPr>
          <w:p>
            <w:pPr>
              <w:pStyle w:val="112"/>
              <w:spacing w:beforeLines="0" w:after="0" w:line="0" w:lineRule="atLeast"/>
              <w:ind w:left="0" w:leftChars="0"/>
            </w:pPr>
            <w:r>
              <w:t>60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restart"/>
            <w:shd w:val="clear" w:color="auto" w:fill="FFFFFF"/>
            <w:vAlign w:val="center"/>
          </w:tcPr>
          <w:p>
            <w:pPr>
              <w:pStyle w:val="112"/>
              <w:spacing w:beforeLines="0" w:after="0" w:line="0" w:lineRule="atLeast"/>
              <w:ind w:left="0" w:leftChars="0"/>
            </w:pPr>
            <w:r>
              <w:rPr>
                <w:rFonts w:hint="eastAsia"/>
              </w:rPr>
              <w:t>能源指标</w:t>
            </w:r>
          </w:p>
        </w:tc>
        <w:tc>
          <w:tcPr>
            <w:tcW w:w="3063" w:type="dxa"/>
            <w:shd w:val="clear" w:color="auto" w:fill="FFFFFF"/>
            <w:vAlign w:val="center"/>
          </w:tcPr>
          <w:p>
            <w:pPr>
              <w:pStyle w:val="112"/>
              <w:spacing w:beforeLines="0" w:after="0" w:line="0" w:lineRule="atLeast"/>
              <w:ind w:left="0" w:leftChars="0"/>
            </w:pPr>
            <w:r>
              <w:rPr>
                <w:rFonts w:hint="eastAsia"/>
              </w:rPr>
              <w:t>单位</w:t>
            </w:r>
            <w:r>
              <w:t>GDP</w:t>
            </w:r>
            <w:r>
              <w:rPr>
                <w:rFonts w:hint="eastAsia"/>
              </w:rPr>
              <w:t>能耗水平</w:t>
            </w:r>
          </w:p>
        </w:tc>
        <w:tc>
          <w:tcPr>
            <w:tcW w:w="1104" w:type="dxa"/>
            <w:shd w:val="clear" w:color="auto" w:fill="FFFFFF"/>
            <w:vAlign w:val="center"/>
          </w:tcPr>
          <w:p>
            <w:pPr>
              <w:pStyle w:val="112"/>
              <w:spacing w:beforeLines="0" w:after="0" w:line="0" w:lineRule="atLeast"/>
              <w:ind w:left="0" w:leftChars="0"/>
            </w:pPr>
            <w:r>
              <w:rPr>
                <w:rFonts w:hint="eastAsia"/>
              </w:rPr>
              <w:t>吨标准煤</w:t>
            </w:r>
            <w:r>
              <w:t>/</w:t>
            </w:r>
            <w:r>
              <w:rPr>
                <w:rFonts w:hint="eastAsia"/>
              </w:rPr>
              <w:t>万元</w:t>
            </w:r>
            <w:r>
              <w:t>GDP</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1.86</w:t>
            </w:r>
          </w:p>
        </w:tc>
        <w:tc>
          <w:tcPr>
            <w:tcW w:w="888" w:type="dxa"/>
            <w:shd w:val="clear" w:color="auto" w:fill="FFFFFF"/>
            <w:vAlign w:val="center"/>
          </w:tcPr>
          <w:p>
            <w:pPr>
              <w:pStyle w:val="112"/>
              <w:spacing w:beforeLines="0" w:after="0" w:line="0" w:lineRule="atLeast"/>
              <w:ind w:left="0" w:leftChars="0"/>
            </w:pPr>
            <w:r>
              <w:rPr>
                <w:rFonts w:hint="eastAsia"/>
              </w:rPr>
              <w:t>1.67</w:t>
            </w:r>
          </w:p>
        </w:tc>
        <w:tc>
          <w:tcPr>
            <w:tcW w:w="845" w:type="dxa"/>
            <w:shd w:val="clear" w:color="auto" w:fill="FFFFFF"/>
            <w:vAlign w:val="center"/>
          </w:tcPr>
          <w:p>
            <w:pPr>
              <w:pStyle w:val="112"/>
              <w:spacing w:beforeLines="0" w:after="0" w:line="0" w:lineRule="atLeast"/>
              <w:ind w:left="0" w:leftChars="0"/>
            </w:pPr>
            <w:r>
              <w:rPr>
                <w:rFonts w:hint="eastAsia"/>
              </w:rPr>
              <w:t>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新能源及可再生能源发电量占总用电量的比例</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vAlign w:val="center"/>
          </w:tcPr>
          <w:p>
            <w:pPr>
              <w:pStyle w:val="112"/>
              <w:spacing w:beforeLines="0" w:after="0" w:line="0" w:lineRule="atLeast"/>
              <w:ind w:left="0" w:leftChars="0"/>
            </w:pPr>
            <w:r>
              <w:rPr>
                <w:rFonts w:hint="eastAsia"/>
              </w:rPr>
              <w:t>引导型</w:t>
            </w:r>
          </w:p>
        </w:tc>
        <w:tc>
          <w:tcPr>
            <w:tcW w:w="793" w:type="dxa"/>
            <w:shd w:val="clear" w:color="auto" w:fill="FFFFFF"/>
            <w:vAlign w:val="center"/>
          </w:tcPr>
          <w:p>
            <w:pPr>
              <w:pStyle w:val="112"/>
              <w:spacing w:beforeLines="0" w:after="0" w:line="0" w:lineRule="atLeast"/>
              <w:ind w:left="0" w:leftChars="0"/>
            </w:pPr>
            <w:r>
              <w:rPr>
                <w:rFonts w:hint="eastAsia"/>
              </w:rPr>
              <w:t>0.3</w:t>
            </w:r>
          </w:p>
        </w:tc>
        <w:tc>
          <w:tcPr>
            <w:tcW w:w="888" w:type="dxa"/>
            <w:shd w:val="clear" w:color="auto" w:fill="FFFFFF"/>
            <w:vAlign w:val="center"/>
          </w:tcPr>
          <w:p>
            <w:pPr>
              <w:pStyle w:val="112"/>
              <w:spacing w:beforeLines="0" w:after="0" w:line="0" w:lineRule="atLeast"/>
              <w:ind w:left="0" w:leftChars="0"/>
            </w:pPr>
            <w:r>
              <w:rPr>
                <w:rFonts w:hint="eastAsia"/>
              </w:rPr>
              <w:t>8</w:t>
            </w:r>
          </w:p>
        </w:tc>
        <w:tc>
          <w:tcPr>
            <w:tcW w:w="845" w:type="dxa"/>
            <w:shd w:val="clear" w:color="auto" w:fill="FFFFFF"/>
            <w:vAlign w:val="center"/>
          </w:tcPr>
          <w:p>
            <w:pPr>
              <w:pStyle w:val="112"/>
              <w:spacing w:beforeLines="0" w:after="0" w:line="0" w:lineRule="atLeast"/>
              <w:ind w:left="0" w:leftChars="0"/>
            </w:pPr>
            <w:r>
              <w:rPr>
                <w:rFonts w:hint="eastAsia"/>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城镇可再生能源消费比例</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vAlign w:val="center"/>
          </w:tcPr>
          <w:p>
            <w:pPr>
              <w:pStyle w:val="112"/>
              <w:spacing w:beforeLines="0" w:after="0" w:line="0" w:lineRule="atLeast"/>
              <w:ind w:left="0" w:leftChars="0"/>
            </w:pPr>
            <w:r>
              <w:rPr>
                <w:rFonts w:hint="eastAsia"/>
              </w:rPr>
              <w:t>引导型</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rPr>
                <w:rFonts w:hint="eastAsia"/>
              </w:rPr>
              <w:t>13</w:t>
            </w:r>
          </w:p>
        </w:tc>
        <w:tc>
          <w:tcPr>
            <w:tcW w:w="845" w:type="dxa"/>
            <w:shd w:val="clear" w:color="auto" w:fill="FFFFFF"/>
            <w:vAlign w:val="center"/>
          </w:tcPr>
          <w:p>
            <w:pPr>
              <w:pStyle w:val="112"/>
              <w:spacing w:beforeLines="0" w:after="0" w:line="0" w:lineRule="atLeast"/>
              <w:ind w:left="0" w:leftChars="0"/>
            </w:pPr>
            <w:r>
              <w:rPr>
                <w:rFonts w:hint="eastAsia"/>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restart"/>
            <w:shd w:val="clear" w:color="auto" w:fill="FFFFFF"/>
            <w:vAlign w:val="center"/>
          </w:tcPr>
          <w:p>
            <w:pPr>
              <w:pStyle w:val="112"/>
              <w:spacing w:beforeLines="0" w:after="0" w:line="0" w:lineRule="atLeast"/>
              <w:ind w:left="0" w:leftChars="0"/>
            </w:pPr>
            <w:r>
              <w:rPr>
                <w:rFonts w:hint="eastAsia"/>
              </w:rPr>
              <w:t>土地资源指标</w:t>
            </w:r>
          </w:p>
        </w:tc>
        <w:tc>
          <w:tcPr>
            <w:tcW w:w="3063" w:type="dxa"/>
            <w:shd w:val="clear" w:color="auto" w:fill="FFFFFF"/>
            <w:vAlign w:val="center"/>
          </w:tcPr>
          <w:p>
            <w:pPr>
              <w:pStyle w:val="112"/>
              <w:spacing w:beforeLines="0" w:after="0" w:line="0" w:lineRule="atLeast"/>
              <w:ind w:left="0" w:leftChars="0"/>
            </w:pPr>
            <w:r>
              <w:rPr>
                <w:rFonts w:hint="eastAsia"/>
              </w:rPr>
              <w:t>城市建设用地规模（中心城区）</w:t>
            </w:r>
          </w:p>
        </w:tc>
        <w:tc>
          <w:tcPr>
            <w:tcW w:w="1104" w:type="dxa"/>
            <w:shd w:val="clear" w:color="auto" w:fill="FFFFFF"/>
            <w:vAlign w:val="center"/>
          </w:tcPr>
          <w:p>
            <w:pPr>
              <w:pStyle w:val="112"/>
              <w:spacing w:beforeLines="0" w:after="0" w:line="0" w:lineRule="atLeast"/>
              <w:ind w:left="0" w:leftChars="0"/>
            </w:pPr>
            <w:r>
              <w:rPr>
                <w:rFonts w:hint="eastAsia"/>
              </w:rPr>
              <w:t>平方公里</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63.1</w:t>
            </w:r>
          </w:p>
        </w:tc>
        <w:tc>
          <w:tcPr>
            <w:tcW w:w="888" w:type="dxa"/>
            <w:shd w:val="clear" w:color="auto" w:fill="FFFFFF"/>
            <w:vAlign w:val="center"/>
          </w:tcPr>
          <w:p>
            <w:pPr>
              <w:pStyle w:val="112"/>
              <w:spacing w:beforeLines="0" w:after="0" w:line="0" w:lineRule="atLeast"/>
              <w:ind w:left="0" w:leftChars="0"/>
            </w:pPr>
            <w:r>
              <w:t>100</w:t>
            </w:r>
          </w:p>
        </w:tc>
        <w:tc>
          <w:tcPr>
            <w:tcW w:w="845" w:type="dxa"/>
            <w:shd w:val="clear" w:color="auto" w:fill="FFFFFF"/>
            <w:vAlign w:val="center"/>
          </w:tcPr>
          <w:p>
            <w:pPr>
              <w:pStyle w:val="112"/>
              <w:spacing w:beforeLines="0" w:after="0" w:line="0" w:lineRule="atLeast"/>
              <w:ind w:left="0" w:leftChars="0"/>
            </w:pPr>
            <w:r>
              <w:t>1</w:t>
            </w:r>
            <w:r>
              <w:rPr>
                <w:rFonts w:hint="eastAsia"/>
                <w:lang w:val="en-US" w:eastAsia="zh-CN"/>
              </w:rPr>
              <w:t>3</w:t>
            </w:r>
            <w:r>
              <w:t>8.6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人均建设用地面积（中心城区）</w:t>
            </w:r>
          </w:p>
        </w:tc>
        <w:tc>
          <w:tcPr>
            <w:tcW w:w="1104" w:type="dxa"/>
            <w:shd w:val="clear" w:color="auto" w:fill="FFFFFF"/>
            <w:vAlign w:val="center"/>
          </w:tcPr>
          <w:p>
            <w:pPr>
              <w:pStyle w:val="112"/>
              <w:spacing w:beforeLines="0" w:after="0" w:line="0" w:lineRule="atLeast"/>
              <w:ind w:left="0" w:leftChars="0"/>
            </w:pPr>
            <w:r>
              <w:rPr>
                <w:rFonts w:hint="eastAsia"/>
              </w:rPr>
              <w:t>平方米</w:t>
            </w:r>
            <w:r>
              <w:t>/</w:t>
            </w:r>
            <w:r>
              <w:rPr>
                <w:rFonts w:hint="eastAsia"/>
              </w:rPr>
              <w:t>人</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t>91.49</w:t>
            </w:r>
          </w:p>
        </w:tc>
        <w:tc>
          <w:tcPr>
            <w:tcW w:w="888" w:type="dxa"/>
            <w:shd w:val="clear" w:color="auto" w:fill="FFFFFF"/>
            <w:vAlign w:val="center"/>
          </w:tcPr>
          <w:p>
            <w:pPr>
              <w:pStyle w:val="112"/>
              <w:spacing w:beforeLines="0" w:after="0" w:line="0" w:lineRule="atLeast"/>
              <w:ind w:left="0" w:leftChars="0"/>
            </w:pPr>
            <w:r>
              <w:t>105</w:t>
            </w:r>
          </w:p>
        </w:tc>
        <w:tc>
          <w:tcPr>
            <w:tcW w:w="845" w:type="dxa"/>
            <w:shd w:val="clear" w:color="auto" w:fill="FFFFFF"/>
            <w:vAlign w:val="center"/>
          </w:tcPr>
          <w:p>
            <w:pPr>
              <w:pStyle w:val="112"/>
              <w:spacing w:beforeLines="0" w:after="0" w:line="0" w:lineRule="atLeast"/>
              <w:ind w:left="0" w:leftChars="0"/>
            </w:pPr>
            <w:r>
              <w:t>105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restart"/>
            <w:shd w:val="clear" w:color="auto" w:fill="FFFFFF"/>
            <w:vAlign w:val="center"/>
          </w:tcPr>
          <w:p>
            <w:pPr>
              <w:pStyle w:val="112"/>
              <w:spacing w:beforeLines="0" w:after="0" w:line="0" w:lineRule="atLeast"/>
              <w:ind w:left="0" w:leftChars="0"/>
            </w:pPr>
            <w:r>
              <w:rPr>
                <w:rFonts w:hint="eastAsia"/>
              </w:rPr>
              <w:t>环境指标</w:t>
            </w:r>
          </w:p>
        </w:tc>
        <w:tc>
          <w:tcPr>
            <w:tcW w:w="682" w:type="dxa"/>
            <w:vMerge w:val="restart"/>
            <w:shd w:val="clear" w:color="auto" w:fill="FFFFFF"/>
            <w:vAlign w:val="center"/>
          </w:tcPr>
          <w:p>
            <w:pPr>
              <w:pStyle w:val="112"/>
              <w:spacing w:beforeLines="0" w:after="0" w:line="0" w:lineRule="atLeast"/>
              <w:ind w:left="0" w:leftChars="0"/>
            </w:pPr>
            <w:r>
              <w:rPr>
                <w:rFonts w:hint="eastAsia"/>
              </w:rPr>
              <w:t>生态建设指标</w:t>
            </w:r>
          </w:p>
        </w:tc>
        <w:tc>
          <w:tcPr>
            <w:tcW w:w="3063" w:type="dxa"/>
            <w:shd w:val="clear" w:color="auto" w:fill="FFFFFF"/>
            <w:vAlign w:val="center"/>
          </w:tcPr>
          <w:p>
            <w:pPr>
              <w:pStyle w:val="112"/>
              <w:spacing w:beforeLines="0" w:after="0" w:line="0" w:lineRule="atLeast"/>
              <w:ind w:left="0" w:leftChars="0"/>
            </w:pPr>
            <w:r>
              <w:rPr>
                <w:rFonts w:hint="eastAsia"/>
              </w:rPr>
              <w:t>人均公园绿地（中心城区）</w:t>
            </w:r>
          </w:p>
        </w:tc>
        <w:tc>
          <w:tcPr>
            <w:tcW w:w="1104" w:type="dxa"/>
            <w:shd w:val="clear" w:color="auto" w:fill="FFFFFF"/>
            <w:vAlign w:val="center"/>
          </w:tcPr>
          <w:p>
            <w:pPr>
              <w:pStyle w:val="112"/>
              <w:spacing w:beforeLines="0" w:after="0" w:line="0" w:lineRule="atLeast"/>
              <w:ind w:left="0" w:leftChars="0"/>
            </w:pPr>
            <w:r>
              <w:rPr>
                <w:rFonts w:hint="eastAsia"/>
              </w:rPr>
              <w:t>平方米</w:t>
            </w:r>
            <w:r>
              <w:t>/</w:t>
            </w:r>
            <w:r>
              <w:rPr>
                <w:rFonts w:hint="eastAsia"/>
              </w:rPr>
              <w:t>人</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3.8</w:t>
            </w:r>
          </w:p>
        </w:tc>
        <w:tc>
          <w:tcPr>
            <w:tcW w:w="888" w:type="dxa"/>
            <w:shd w:val="clear" w:color="auto" w:fill="FFFFFF"/>
            <w:vAlign w:val="center"/>
          </w:tcPr>
          <w:p>
            <w:pPr>
              <w:pStyle w:val="112"/>
              <w:spacing w:beforeLines="0" w:after="0" w:line="0" w:lineRule="atLeast"/>
              <w:ind w:left="0" w:leftChars="0"/>
            </w:pPr>
            <w:r>
              <w:rPr>
                <w:rFonts w:hint="eastAsia"/>
              </w:rPr>
              <w:t>7.2</w:t>
            </w:r>
          </w:p>
        </w:tc>
        <w:tc>
          <w:tcPr>
            <w:tcW w:w="845" w:type="dxa"/>
            <w:shd w:val="clear" w:color="auto" w:fill="FFFFFF"/>
            <w:vAlign w:val="center"/>
          </w:tcPr>
          <w:p>
            <w:pPr>
              <w:pStyle w:val="112"/>
              <w:spacing w:beforeLines="0" w:after="0" w:line="0" w:lineRule="atLeast"/>
              <w:ind w:left="0" w:leftChars="0"/>
            </w:pPr>
            <w:r>
              <w:t>10.05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城市建成区绿地率</w:t>
            </w:r>
          </w:p>
        </w:tc>
        <w:tc>
          <w:tcPr>
            <w:tcW w:w="1104" w:type="dxa"/>
            <w:shd w:val="clear" w:color="auto" w:fill="FFFFFF"/>
            <w:vAlign w:val="center"/>
          </w:tcPr>
          <w:p>
            <w:pPr>
              <w:pStyle w:val="112"/>
              <w:spacing w:beforeLines="0" w:after="0" w:line="0" w:lineRule="atLeast"/>
              <w:ind w:left="0" w:leftChars="0"/>
            </w:pPr>
            <w:r>
              <w:t>%</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rPr>
                <w:rFonts w:hint="eastAsia"/>
              </w:rPr>
              <w:t>30</w:t>
            </w:r>
          </w:p>
        </w:tc>
        <w:tc>
          <w:tcPr>
            <w:tcW w:w="845" w:type="dxa"/>
            <w:shd w:val="clear" w:color="auto" w:fill="FFFFFF"/>
            <w:vAlign w:val="center"/>
          </w:tcPr>
          <w:p>
            <w:pPr>
              <w:pStyle w:val="112"/>
              <w:spacing w:beforeLines="0" w:after="0" w:line="0" w:lineRule="atLeast"/>
              <w:ind w:left="0" w:leftChars="0"/>
            </w:pPr>
            <w:r>
              <w:rPr>
                <w:rFonts w:hint="eastAsia"/>
              </w:rPr>
              <w:t>32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528" w:hRule="atLeast"/>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restart"/>
            <w:shd w:val="clear" w:color="auto" w:fill="FFFFFF"/>
            <w:vAlign w:val="center"/>
          </w:tcPr>
          <w:p>
            <w:pPr>
              <w:pStyle w:val="112"/>
              <w:spacing w:beforeLines="0" w:after="0" w:line="0" w:lineRule="atLeast"/>
              <w:ind w:left="0" w:leftChars="0"/>
            </w:pPr>
            <w:r>
              <w:rPr>
                <w:rFonts w:hint="eastAsia"/>
              </w:rPr>
              <w:t>污染控制指标</w:t>
            </w:r>
          </w:p>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污水集中处理率（中心城区）</w:t>
            </w:r>
          </w:p>
        </w:tc>
        <w:tc>
          <w:tcPr>
            <w:tcW w:w="1104" w:type="dxa"/>
            <w:shd w:val="clear" w:color="auto" w:fill="FFFFFF"/>
            <w:vAlign w:val="center"/>
          </w:tcPr>
          <w:p>
            <w:pPr>
              <w:pStyle w:val="112"/>
              <w:spacing w:beforeLines="0" w:after="0" w:line="0" w:lineRule="atLeast"/>
              <w:ind w:left="0" w:leftChars="0"/>
            </w:pPr>
            <w:r>
              <w:t>％</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50</w:t>
            </w:r>
          </w:p>
        </w:tc>
        <w:tc>
          <w:tcPr>
            <w:tcW w:w="888" w:type="dxa"/>
            <w:shd w:val="clear" w:color="auto" w:fill="FFFFFF"/>
            <w:vAlign w:val="center"/>
          </w:tcPr>
          <w:p>
            <w:pPr>
              <w:pStyle w:val="112"/>
              <w:spacing w:beforeLines="0" w:after="0" w:line="0" w:lineRule="atLeast"/>
              <w:ind w:left="0" w:leftChars="0"/>
            </w:pPr>
            <w:r>
              <w:rPr>
                <w:rFonts w:hint="eastAsia"/>
              </w:rPr>
              <w:t>80</w:t>
            </w:r>
          </w:p>
        </w:tc>
        <w:tc>
          <w:tcPr>
            <w:tcW w:w="845" w:type="dxa"/>
            <w:shd w:val="clear" w:color="auto" w:fill="FFFFFF"/>
            <w:vAlign w:val="center"/>
          </w:tcPr>
          <w:p>
            <w:pPr>
              <w:pStyle w:val="112"/>
              <w:spacing w:beforeLines="0" w:after="0" w:line="0" w:lineRule="atLeast"/>
              <w:ind w:left="0" w:leftChars="0"/>
            </w:pPr>
            <w:r>
              <w:rPr>
                <w:rFonts w:hint="eastAsia"/>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490" w:hRule="atLeast"/>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垃圾无害化处理率（中心城区）</w:t>
            </w:r>
          </w:p>
        </w:tc>
        <w:tc>
          <w:tcPr>
            <w:tcW w:w="1104" w:type="dxa"/>
            <w:shd w:val="clear" w:color="auto" w:fill="FFFFFF"/>
            <w:vAlign w:val="center"/>
          </w:tcPr>
          <w:p>
            <w:pPr>
              <w:pStyle w:val="112"/>
              <w:spacing w:beforeLines="0" w:after="0" w:line="0" w:lineRule="atLeast"/>
              <w:ind w:left="0" w:leftChars="0"/>
            </w:pPr>
            <w:r>
              <w:t>％</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100</w:t>
            </w:r>
          </w:p>
        </w:tc>
        <w:tc>
          <w:tcPr>
            <w:tcW w:w="888" w:type="dxa"/>
            <w:shd w:val="clear" w:color="auto" w:fill="FFFFFF"/>
            <w:vAlign w:val="center"/>
          </w:tcPr>
          <w:p>
            <w:pPr>
              <w:pStyle w:val="112"/>
              <w:spacing w:beforeLines="0" w:after="0" w:line="0" w:lineRule="atLeast"/>
              <w:ind w:left="0" w:leftChars="0"/>
            </w:pPr>
            <w:r>
              <w:rPr>
                <w:rFonts w:hint="eastAsia"/>
              </w:rPr>
              <w:t>100</w:t>
            </w:r>
          </w:p>
        </w:tc>
        <w:tc>
          <w:tcPr>
            <w:tcW w:w="845" w:type="dxa"/>
            <w:shd w:val="clear" w:color="auto" w:fill="FFFFFF"/>
            <w:vAlign w:val="center"/>
          </w:tcPr>
          <w:p>
            <w:pPr>
              <w:pStyle w:val="112"/>
              <w:spacing w:beforeLines="0" w:after="0" w:line="0" w:lineRule="atLeast"/>
              <w:ind w:left="0" w:leftChars="0"/>
            </w:pPr>
            <w:r>
              <w:rPr>
                <w:rFonts w:hint="eastAsia"/>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trHeight w:val="295" w:hRule="atLeast"/>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垃圾资源化利用率（中心城区）</w:t>
            </w:r>
          </w:p>
        </w:tc>
        <w:tc>
          <w:tcPr>
            <w:tcW w:w="1104" w:type="dxa"/>
            <w:shd w:val="clear" w:color="auto" w:fill="FFFFFF"/>
            <w:vAlign w:val="center"/>
          </w:tcPr>
          <w:p>
            <w:pPr>
              <w:pStyle w:val="112"/>
              <w:spacing w:beforeLines="0" w:after="0" w:line="0" w:lineRule="atLeast"/>
              <w:ind w:left="0" w:leftChars="0"/>
            </w:pPr>
            <w:r>
              <w:t>％</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20</w:t>
            </w:r>
          </w:p>
        </w:tc>
        <w:tc>
          <w:tcPr>
            <w:tcW w:w="888" w:type="dxa"/>
            <w:shd w:val="clear" w:color="auto" w:fill="FFFFFF"/>
            <w:vAlign w:val="center"/>
          </w:tcPr>
          <w:p>
            <w:pPr>
              <w:pStyle w:val="112"/>
              <w:spacing w:beforeLines="0" w:after="0" w:line="0" w:lineRule="atLeast"/>
              <w:ind w:left="0" w:leftChars="0"/>
            </w:pPr>
            <w:r>
              <w:rPr>
                <w:rFonts w:hint="eastAsia"/>
              </w:rPr>
              <w:t>50</w:t>
            </w:r>
          </w:p>
        </w:tc>
        <w:tc>
          <w:tcPr>
            <w:tcW w:w="845" w:type="dxa"/>
            <w:shd w:val="clear" w:color="auto" w:fill="FFFFFF"/>
            <w:vAlign w:val="center"/>
          </w:tcPr>
          <w:p>
            <w:pPr>
              <w:pStyle w:val="112"/>
              <w:spacing w:beforeLines="0" w:after="0" w:line="0" w:lineRule="atLeast"/>
              <w:ind w:left="0" w:leftChars="0"/>
            </w:pPr>
            <w:r>
              <w:rPr>
                <w:rFonts w:hint="eastAsia"/>
              </w:rPr>
              <w:t>70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95" w:hRule="atLeast"/>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restart"/>
            <w:shd w:val="clear" w:color="auto" w:fill="FFFFFF"/>
            <w:vAlign w:val="center"/>
          </w:tcPr>
          <w:p>
            <w:pPr>
              <w:pStyle w:val="112"/>
              <w:spacing w:beforeLines="0" w:after="0" w:line="0" w:lineRule="atLeast"/>
              <w:ind w:left="0" w:leftChars="0"/>
            </w:pPr>
            <w:r>
              <w:rPr>
                <w:rFonts w:hint="eastAsia"/>
              </w:rPr>
              <w:t>环境质量指标</w:t>
            </w:r>
          </w:p>
        </w:tc>
        <w:tc>
          <w:tcPr>
            <w:tcW w:w="3063" w:type="dxa"/>
            <w:shd w:val="clear" w:color="auto" w:fill="FFFFFF"/>
            <w:vAlign w:val="center"/>
          </w:tcPr>
          <w:p>
            <w:pPr>
              <w:pStyle w:val="112"/>
              <w:spacing w:beforeLines="0" w:after="0" w:line="0" w:lineRule="atLeast"/>
              <w:ind w:left="0" w:leftChars="0"/>
            </w:pPr>
            <w:r>
              <w:t>集中式饮用水水源地水质达标率</w:t>
            </w:r>
          </w:p>
        </w:tc>
        <w:tc>
          <w:tcPr>
            <w:tcW w:w="1104" w:type="dxa"/>
            <w:shd w:val="clear" w:color="auto" w:fill="FFFFFF"/>
            <w:vAlign w:val="center"/>
          </w:tcPr>
          <w:p>
            <w:pPr>
              <w:pStyle w:val="112"/>
              <w:spacing w:beforeLines="0" w:after="0" w:line="0" w:lineRule="atLeast"/>
              <w:ind w:left="0" w:leftChars="0"/>
            </w:pPr>
            <w:r>
              <w:t>%</w:t>
            </w:r>
          </w:p>
        </w:tc>
        <w:tc>
          <w:tcPr>
            <w:tcW w:w="912" w:type="dxa"/>
            <w:shd w:val="clear" w:color="auto" w:fill="FFFFFF"/>
            <w:vAlign w:val="center"/>
          </w:tcPr>
          <w:p>
            <w:pPr>
              <w:pStyle w:val="112"/>
              <w:spacing w:beforeLines="0" w:after="0" w:line="0" w:lineRule="atLeast"/>
              <w:ind w:left="0" w:leftChars="0"/>
            </w:pPr>
            <w:r>
              <w:t>控制型</w:t>
            </w:r>
          </w:p>
        </w:tc>
        <w:tc>
          <w:tcPr>
            <w:tcW w:w="793" w:type="dxa"/>
            <w:shd w:val="clear" w:color="auto" w:fill="FFFFFF"/>
            <w:vAlign w:val="center"/>
          </w:tcPr>
          <w:p>
            <w:pPr>
              <w:pStyle w:val="112"/>
              <w:spacing w:beforeLines="0" w:after="0" w:line="0" w:lineRule="atLeast"/>
              <w:ind w:left="0" w:leftChars="0"/>
            </w:pPr>
            <w:r>
              <w:t>100</w:t>
            </w:r>
          </w:p>
        </w:tc>
        <w:tc>
          <w:tcPr>
            <w:tcW w:w="888" w:type="dxa"/>
            <w:shd w:val="clear" w:color="auto" w:fill="FFFFFF"/>
            <w:vAlign w:val="center"/>
          </w:tcPr>
          <w:p>
            <w:pPr>
              <w:pStyle w:val="112"/>
              <w:spacing w:beforeLines="0" w:after="0" w:line="0" w:lineRule="atLeast"/>
              <w:ind w:left="0" w:leftChars="0"/>
            </w:pPr>
            <w:r>
              <w:rPr>
                <w:rFonts w:hint="eastAsia"/>
              </w:rPr>
              <w:t>100</w:t>
            </w:r>
          </w:p>
        </w:tc>
        <w:tc>
          <w:tcPr>
            <w:tcW w:w="845" w:type="dxa"/>
            <w:shd w:val="clear" w:color="auto" w:fill="FFFFFF"/>
            <w:vAlign w:val="center"/>
          </w:tcPr>
          <w:p>
            <w:pPr>
              <w:pStyle w:val="112"/>
              <w:spacing w:beforeLines="0" w:after="0" w:line="0" w:lineRule="atLeast"/>
              <w:ind w:left="0" w:leftChars="0"/>
            </w:pPr>
            <w: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95" w:hRule="atLeast"/>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t>水体水质好于</w:t>
            </w:r>
            <w:r>
              <w:fldChar w:fldCharType="begin"/>
            </w:r>
            <w:r>
              <w:instrText xml:space="preserve"> = 3 \* ROMAN </w:instrText>
            </w:r>
            <w:r>
              <w:fldChar w:fldCharType="separate"/>
            </w:r>
            <w:r>
              <w:t>III</w:t>
            </w:r>
            <w:r>
              <w:fldChar w:fldCharType="end"/>
            </w:r>
            <w:r>
              <w:t>类断面比例</w:t>
            </w:r>
          </w:p>
        </w:tc>
        <w:tc>
          <w:tcPr>
            <w:tcW w:w="1104" w:type="dxa"/>
            <w:shd w:val="clear" w:color="auto" w:fill="FFFFFF"/>
            <w:vAlign w:val="center"/>
          </w:tcPr>
          <w:p>
            <w:pPr>
              <w:pStyle w:val="112"/>
              <w:spacing w:beforeLines="0" w:after="0" w:line="0" w:lineRule="atLeast"/>
              <w:ind w:left="0" w:leftChars="0"/>
            </w:pPr>
            <w:r>
              <w:t>%</w:t>
            </w:r>
          </w:p>
        </w:tc>
        <w:tc>
          <w:tcPr>
            <w:tcW w:w="912" w:type="dxa"/>
            <w:shd w:val="clear" w:color="auto" w:fill="FFFFFF"/>
            <w:vAlign w:val="center"/>
          </w:tcPr>
          <w:p>
            <w:pPr>
              <w:pStyle w:val="112"/>
              <w:spacing w:beforeLines="0" w:after="0" w:line="0" w:lineRule="atLeast"/>
              <w:ind w:left="0" w:leftChars="0"/>
            </w:pPr>
            <w:r>
              <w:t>控制型</w:t>
            </w:r>
          </w:p>
        </w:tc>
        <w:tc>
          <w:tcPr>
            <w:tcW w:w="793" w:type="dxa"/>
            <w:shd w:val="clear" w:color="auto" w:fill="FFFFFF"/>
            <w:vAlign w:val="center"/>
          </w:tcPr>
          <w:p>
            <w:pPr>
              <w:pStyle w:val="112"/>
              <w:spacing w:beforeLines="0" w:after="0" w:line="0" w:lineRule="atLeast"/>
              <w:ind w:left="0" w:leftChars="0"/>
            </w:pPr>
            <w:r>
              <w:rPr>
                <w:rFonts w:hint="eastAsia"/>
              </w:rPr>
              <w:t>85.7</w:t>
            </w:r>
          </w:p>
        </w:tc>
        <w:tc>
          <w:tcPr>
            <w:tcW w:w="888" w:type="dxa"/>
            <w:shd w:val="clear" w:color="auto" w:fill="FFFFFF"/>
            <w:vAlign w:val="center"/>
          </w:tcPr>
          <w:p>
            <w:pPr>
              <w:pStyle w:val="112"/>
              <w:spacing w:beforeLines="0" w:after="0" w:line="0" w:lineRule="atLeast"/>
              <w:ind w:left="0" w:leftChars="0"/>
            </w:pPr>
            <w:r>
              <w:rPr>
                <w:rFonts w:hint="eastAsia"/>
              </w:rPr>
              <w:t>100</w:t>
            </w:r>
          </w:p>
        </w:tc>
        <w:tc>
          <w:tcPr>
            <w:tcW w:w="845" w:type="dxa"/>
            <w:shd w:val="clear" w:color="auto" w:fill="FFFFFF"/>
            <w:vAlign w:val="center"/>
          </w:tcPr>
          <w:p>
            <w:pPr>
              <w:pStyle w:val="112"/>
              <w:spacing w:beforeLines="0" w:after="0" w:line="0" w:lineRule="atLeast"/>
              <w:ind w:left="0" w:leftChars="0"/>
            </w:pPr>
            <w: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95" w:hRule="atLeast"/>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t>空气质量</w:t>
            </w:r>
            <w:r>
              <w:fldChar w:fldCharType="begin"/>
            </w:r>
            <w:r>
              <w:instrText xml:space="preserve"> = 2 \* ROMAN </w:instrText>
            </w:r>
            <w:r>
              <w:fldChar w:fldCharType="separate"/>
            </w:r>
            <w:r>
              <w:t>II</w:t>
            </w:r>
            <w:r>
              <w:fldChar w:fldCharType="end"/>
            </w:r>
            <w:r>
              <w:t>级以上天数比例</w:t>
            </w:r>
          </w:p>
        </w:tc>
        <w:tc>
          <w:tcPr>
            <w:tcW w:w="1104" w:type="dxa"/>
            <w:shd w:val="clear" w:color="auto" w:fill="FFFFFF"/>
            <w:vAlign w:val="center"/>
          </w:tcPr>
          <w:p>
            <w:pPr>
              <w:pStyle w:val="112"/>
              <w:spacing w:beforeLines="0" w:after="0" w:line="0" w:lineRule="atLeast"/>
              <w:ind w:left="0" w:leftChars="0"/>
            </w:pPr>
            <w:r>
              <w:t>%</w:t>
            </w:r>
          </w:p>
        </w:tc>
        <w:tc>
          <w:tcPr>
            <w:tcW w:w="912" w:type="dxa"/>
            <w:shd w:val="clear" w:color="auto" w:fill="FFFFFF"/>
            <w:vAlign w:val="center"/>
          </w:tcPr>
          <w:p>
            <w:pPr>
              <w:pStyle w:val="112"/>
              <w:spacing w:beforeLines="0" w:after="0" w:line="0" w:lineRule="atLeast"/>
              <w:ind w:left="0" w:leftChars="0"/>
            </w:pPr>
            <w:r>
              <w:t>控制型</w:t>
            </w:r>
          </w:p>
        </w:tc>
        <w:tc>
          <w:tcPr>
            <w:tcW w:w="793" w:type="dxa"/>
            <w:shd w:val="clear" w:color="auto" w:fill="FFFFFF"/>
            <w:vAlign w:val="center"/>
          </w:tcPr>
          <w:p>
            <w:pPr>
              <w:pStyle w:val="112"/>
              <w:spacing w:beforeLines="0" w:after="0" w:line="0" w:lineRule="atLeast"/>
              <w:ind w:left="0" w:leftChars="0"/>
            </w:pPr>
            <w:r>
              <w:t>9</w:t>
            </w:r>
            <w:r>
              <w:rPr>
                <w:rFonts w:hint="eastAsia"/>
              </w:rPr>
              <w:t>8.2</w:t>
            </w:r>
          </w:p>
        </w:tc>
        <w:tc>
          <w:tcPr>
            <w:tcW w:w="888" w:type="dxa"/>
            <w:shd w:val="clear" w:color="auto" w:fill="FFFFFF"/>
            <w:vAlign w:val="center"/>
          </w:tcPr>
          <w:p>
            <w:pPr>
              <w:pStyle w:val="112"/>
              <w:spacing w:beforeLines="0" w:after="0" w:line="0" w:lineRule="atLeast"/>
              <w:ind w:left="0" w:leftChars="0"/>
            </w:pPr>
            <w:r>
              <w:rPr>
                <w:rFonts w:hint="eastAsia"/>
              </w:rPr>
              <w:t>98.9</w:t>
            </w:r>
          </w:p>
        </w:tc>
        <w:tc>
          <w:tcPr>
            <w:tcW w:w="845" w:type="dxa"/>
            <w:shd w:val="clear" w:color="auto" w:fill="FFFFFF"/>
            <w:vAlign w:val="center"/>
          </w:tcPr>
          <w:p>
            <w:pPr>
              <w:pStyle w:val="112"/>
              <w:spacing w:beforeLines="0" w:after="0" w:line="0" w:lineRule="atLeast"/>
              <w:ind w:left="0" w:leftChars="0"/>
            </w:pPr>
            <w:r>
              <w:t>9</w:t>
            </w:r>
            <w:r>
              <w:rPr>
                <w:rFonts w:hint="eastAsia"/>
              </w:rPr>
              <w:t>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95" w:hRule="atLeast"/>
          <w:jc w:val="center"/>
        </w:trPr>
        <w:tc>
          <w:tcPr>
            <w:tcW w:w="705" w:type="dxa"/>
            <w:vMerge w:val="continue"/>
            <w:shd w:val="clear" w:color="auto" w:fill="FFFFFF"/>
            <w:vAlign w:val="center"/>
          </w:tcPr>
          <w:p>
            <w:pPr>
              <w:pStyle w:val="112"/>
              <w:spacing w:beforeLines="0" w:after="0" w:line="0" w:lineRule="atLeast"/>
              <w:ind w:left="0" w:leftChars="0"/>
            </w:pPr>
          </w:p>
        </w:tc>
        <w:tc>
          <w:tcPr>
            <w:tcW w:w="682" w:type="dxa"/>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t>区域环境噪声平均值</w:t>
            </w:r>
          </w:p>
        </w:tc>
        <w:tc>
          <w:tcPr>
            <w:tcW w:w="1104" w:type="dxa"/>
            <w:shd w:val="clear" w:color="auto" w:fill="FFFFFF"/>
            <w:vAlign w:val="center"/>
          </w:tcPr>
          <w:p>
            <w:pPr>
              <w:pStyle w:val="112"/>
              <w:spacing w:beforeLines="0" w:after="0" w:line="0" w:lineRule="atLeast"/>
              <w:ind w:left="0" w:leftChars="0"/>
            </w:pPr>
            <w:r>
              <w:t>dB(A)</w:t>
            </w:r>
          </w:p>
        </w:tc>
        <w:tc>
          <w:tcPr>
            <w:tcW w:w="912" w:type="dxa"/>
            <w:shd w:val="clear" w:color="auto" w:fill="FFFFFF"/>
            <w:vAlign w:val="center"/>
          </w:tcPr>
          <w:p>
            <w:pPr>
              <w:pStyle w:val="112"/>
              <w:spacing w:beforeLines="0" w:after="0" w:line="0" w:lineRule="atLeast"/>
              <w:ind w:left="0" w:leftChars="0"/>
            </w:pPr>
            <w:r>
              <w:t>控制型</w:t>
            </w:r>
          </w:p>
        </w:tc>
        <w:tc>
          <w:tcPr>
            <w:tcW w:w="793" w:type="dxa"/>
            <w:shd w:val="clear" w:color="auto" w:fill="FFFFFF"/>
            <w:vAlign w:val="center"/>
          </w:tcPr>
          <w:p>
            <w:pPr>
              <w:pStyle w:val="112"/>
              <w:spacing w:beforeLines="0" w:after="0" w:line="0" w:lineRule="atLeast"/>
              <w:ind w:left="0" w:leftChars="0"/>
            </w:pPr>
            <w:r>
              <w:rPr>
                <w:rFonts w:hint="eastAsia"/>
              </w:rPr>
              <w:t>51.7</w:t>
            </w:r>
          </w:p>
        </w:tc>
        <w:tc>
          <w:tcPr>
            <w:tcW w:w="888" w:type="dxa"/>
            <w:shd w:val="clear" w:color="auto" w:fill="FFFFFF"/>
            <w:vAlign w:val="center"/>
          </w:tcPr>
          <w:p>
            <w:pPr>
              <w:pStyle w:val="112"/>
              <w:spacing w:beforeLines="0" w:after="0" w:line="0" w:lineRule="atLeast"/>
              <w:ind w:left="0" w:leftChars="0"/>
            </w:pPr>
            <w:r>
              <w:rPr>
                <w:rFonts w:hint="eastAsia"/>
              </w:rPr>
              <w:t>51</w:t>
            </w:r>
          </w:p>
        </w:tc>
        <w:tc>
          <w:tcPr>
            <w:tcW w:w="845" w:type="dxa"/>
            <w:shd w:val="clear" w:color="auto" w:fill="FFFFFF"/>
            <w:vAlign w:val="center"/>
          </w:tcPr>
          <w:p>
            <w:pPr>
              <w:pStyle w:val="112"/>
              <w:spacing w:beforeLines="0" w:after="0" w:line="0" w:lineRule="atLeast"/>
              <w:ind w:left="0" w:leftChars="0"/>
            </w:pPr>
            <w:r>
              <w:rPr>
                <w:rFonts w:hint="eastAsia"/>
              </w:rPr>
              <w:t>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95" w:hRule="atLeast"/>
          <w:jc w:val="center"/>
        </w:trPr>
        <w:tc>
          <w:tcPr>
            <w:tcW w:w="1387" w:type="dxa"/>
            <w:gridSpan w:val="2"/>
            <w:vMerge w:val="restart"/>
            <w:shd w:val="clear" w:color="auto" w:fill="FFFFFF"/>
            <w:vAlign w:val="center"/>
          </w:tcPr>
          <w:p>
            <w:pPr>
              <w:pStyle w:val="112"/>
              <w:spacing w:beforeLines="0" w:after="0" w:line="0" w:lineRule="atLeast"/>
              <w:ind w:left="0" w:leftChars="0"/>
            </w:pPr>
            <w:r>
              <w:rPr>
                <w:rFonts w:hint="eastAsia"/>
              </w:rPr>
              <w:t>基础</w:t>
            </w:r>
            <w:r>
              <w:t>设施指标</w:t>
            </w:r>
          </w:p>
        </w:tc>
        <w:tc>
          <w:tcPr>
            <w:tcW w:w="3063" w:type="dxa"/>
            <w:shd w:val="clear" w:color="auto" w:fill="FFFFFF"/>
            <w:vAlign w:val="center"/>
          </w:tcPr>
          <w:p>
            <w:pPr>
              <w:pStyle w:val="112"/>
              <w:spacing w:beforeLines="0" w:after="0" w:line="0" w:lineRule="atLeast"/>
              <w:ind w:left="0" w:leftChars="0"/>
            </w:pPr>
            <w:r>
              <w:rPr>
                <w:rFonts w:hint="eastAsia"/>
              </w:rPr>
              <w:t>城镇公共</w:t>
            </w:r>
            <w:r>
              <w:t>供水普及率</w:t>
            </w:r>
            <w:r>
              <w:rPr>
                <w:rFonts w:hint="eastAsia"/>
              </w:rPr>
              <w:t>（市域）</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t>80</w:t>
            </w:r>
          </w:p>
        </w:tc>
        <w:tc>
          <w:tcPr>
            <w:tcW w:w="845" w:type="dxa"/>
            <w:shd w:val="clear" w:color="auto" w:fill="FFFFFF"/>
            <w:vAlign w:val="center"/>
          </w:tcPr>
          <w:p>
            <w:pPr>
              <w:pStyle w:val="112"/>
              <w:spacing w:beforeLines="0" w:after="0" w:line="0" w:lineRule="atLeast"/>
              <w:ind w:left="0" w:leftChars="0"/>
            </w:pPr>
            <w:r>
              <w:rPr>
                <w:rFonts w:hint="eastAsia"/>
              </w:rPr>
              <w:t>95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trHeight w:val="295" w:hRule="atLeast"/>
          <w:jc w:val="center"/>
        </w:trPr>
        <w:tc>
          <w:tcPr>
            <w:tcW w:w="1387" w:type="dxa"/>
            <w:gridSpan w:val="2"/>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城市</w:t>
            </w:r>
            <w:r>
              <w:t>污水处理率</w:t>
            </w:r>
            <w:r>
              <w:rPr>
                <w:rFonts w:hint="eastAsia"/>
              </w:rPr>
              <w:t>（市域</w:t>
            </w:r>
            <w:r>
              <w:t>）</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rPr>
                <w:rFonts w:hint="eastAsia"/>
              </w:rPr>
              <w:t>80</w:t>
            </w:r>
          </w:p>
        </w:tc>
        <w:tc>
          <w:tcPr>
            <w:tcW w:w="845" w:type="dxa"/>
            <w:shd w:val="clear" w:color="auto" w:fill="FFFFFF"/>
            <w:vAlign w:val="center"/>
          </w:tcPr>
          <w:p>
            <w:pPr>
              <w:pStyle w:val="112"/>
              <w:spacing w:beforeLines="0" w:after="0" w:line="0" w:lineRule="atLeast"/>
              <w:ind w:left="0" w:leftChars="0"/>
            </w:pPr>
            <w:r>
              <w:rPr>
                <w:rFonts w:hint="eastAsia"/>
              </w:rPr>
              <w:t>95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95" w:hRule="atLeast"/>
          <w:jc w:val="center"/>
        </w:trPr>
        <w:tc>
          <w:tcPr>
            <w:tcW w:w="1387" w:type="dxa"/>
            <w:gridSpan w:val="2"/>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城市</w:t>
            </w:r>
            <w:r>
              <w:t>生活垃圾无害化处理率</w:t>
            </w:r>
            <w:r>
              <w:rPr>
                <w:rFonts w:hint="eastAsia"/>
              </w:rPr>
              <w:t>（市域</w:t>
            </w:r>
            <w:r>
              <w:t>）</w:t>
            </w:r>
          </w:p>
        </w:tc>
        <w:tc>
          <w:tcPr>
            <w:tcW w:w="1104" w:type="dxa"/>
            <w:shd w:val="clear" w:color="auto" w:fill="FFFFFF"/>
            <w:vAlign w:val="center"/>
          </w:tcPr>
          <w:p>
            <w:pPr>
              <w:pStyle w:val="112"/>
              <w:spacing w:beforeLines="0" w:after="0" w:line="0" w:lineRule="atLeast"/>
              <w:ind w:left="0" w:leftChars="0"/>
            </w:pPr>
            <w:r>
              <w:rPr>
                <w:rFonts w:hint="eastAsia"/>
              </w:rPr>
              <w:t>%</w:t>
            </w:r>
          </w:p>
        </w:tc>
        <w:tc>
          <w:tcPr>
            <w:tcW w:w="912" w:type="dxa"/>
            <w:shd w:val="clear" w:color="auto" w:fill="FFFFFF"/>
            <w:vAlign w:val="center"/>
          </w:tcPr>
          <w:p>
            <w:pPr>
              <w:pStyle w:val="112"/>
              <w:spacing w:beforeLines="0" w:after="0" w:line="0" w:lineRule="atLeast"/>
              <w:ind w:left="0" w:leftChars="0"/>
            </w:pPr>
            <w:r>
              <w:rPr>
                <w:rFonts w:hint="eastAsia"/>
              </w:rPr>
              <w:t>控制型</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rPr>
                <w:rFonts w:hint="eastAsia"/>
              </w:rPr>
              <w:t>100</w:t>
            </w:r>
          </w:p>
        </w:tc>
        <w:tc>
          <w:tcPr>
            <w:tcW w:w="845" w:type="dxa"/>
            <w:shd w:val="clear" w:color="auto" w:fill="FFFFFF"/>
            <w:vAlign w:val="center"/>
          </w:tcPr>
          <w:p>
            <w:pPr>
              <w:pStyle w:val="112"/>
              <w:spacing w:beforeLines="0" w:after="0" w:line="0" w:lineRule="atLeast"/>
              <w:ind w:left="0" w:leftChars="0"/>
            </w:pPr>
            <w:r>
              <w:rPr>
                <w:rFonts w:hint="eastAsia"/>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95" w:hRule="atLeast"/>
          <w:jc w:val="center"/>
        </w:trPr>
        <w:tc>
          <w:tcPr>
            <w:tcW w:w="1387" w:type="dxa"/>
            <w:gridSpan w:val="2"/>
            <w:vMerge w:val="continue"/>
            <w:shd w:val="clear" w:color="auto" w:fill="FFFFFF"/>
            <w:vAlign w:val="center"/>
          </w:tcPr>
          <w:p>
            <w:pPr>
              <w:pStyle w:val="112"/>
              <w:spacing w:beforeLines="0" w:after="0" w:line="0" w:lineRule="atLeast"/>
              <w:ind w:left="0" w:leftChars="0"/>
            </w:pPr>
          </w:p>
        </w:tc>
        <w:tc>
          <w:tcPr>
            <w:tcW w:w="3063" w:type="dxa"/>
            <w:shd w:val="clear" w:color="auto" w:fill="FFFFFF"/>
            <w:vAlign w:val="center"/>
          </w:tcPr>
          <w:p>
            <w:pPr>
              <w:pStyle w:val="112"/>
              <w:spacing w:beforeLines="0" w:after="0" w:line="0" w:lineRule="atLeast"/>
              <w:ind w:left="0" w:leftChars="0"/>
            </w:pPr>
            <w:r>
              <w:rPr>
                <w:rFonts w:hint="eastAsia"/>
              </w:rPr>
              <w:t>城市</w:t>
            </w:r>
            <w:r>
              <w:t>家庭</w:t>
            </w:r>
            <w:r>
              <w:rPr>
                <w:rFonts w:hint="eastAsia"/>
              </w:rPr>
              <w:t>宽带</w:t>
            </w:r>
            <w:r>
              <w:t>接入能力</w:t>
            </w:r>
            <w:r>
              <w:rPr>
                <w:rFonts w:hint="eastAsia"/>
              </w:rPr>
              <w:t>（市域</w:t>
            </w:r>
            <w:r>
              <w:t>）</w:t>
            </w:r>
          </w:p>
        </w:tc>
        <w:tc>
          <w:tcPr>
            <w:tcW w:w="1104" w:type="dxa"/>
            <w:shd w:val="clear" w:color="auto" w:fill="FFFFFF"/>
            <w:vAlign w:val="center"/>
          </w:tcPr>
          <w:p>
            <w:pPr>
              <w:pStyle w:val="112"/>
              <w:spacing w:beforeLines="0" w:after="0" w:line="0" w:lineRule="atLeast"/>
              <w:ind w:left="0" w:leftChars="0"/>
            </w:pPr>
            <w:r>
              <w:rPr>
                <w:rFonts w:hint="eastAsia"/>
              </w:rPr>
              <w:t>M</w:t>
            </w:r>
            <w:r>
              <w:t>bps</w:t>
            </w:r>
          </w:p>
        </w:tc>
        <w:tc>
          <w:tcPr>
            <w:tcW w:w="912" w:type="dxa"/>
            <w:shd w:val="clear" w:color="auto" w:fill="FFFFFF"/>
            <w:vAlign w:val="center"/>
          </w:tcPr>
          <w:p>
            <w:pPr>
              <w:pStyle w:val="112"/>
              <w:spacing w:beforeLines="0" w:after="0" w:line="0" w:lineRule="atLeast"/>
              <w:ind w:left="0" w:leftChars="0"/>
            </w:pPr>
            <w:r>
              <w:rPr>
                <w:rFonts w:hint="eastAsia"/>
              </w:rPr>
              <w:t>引导型</w:t>
            </w:r>
          </w:p>
        </w:tc>
        <w:tc>
          <w:tcPr>
            <w:tcW w:w="793" w:type="dxa"/>
            <w:shd w:val="clear" w:color="auto" w:fill="FFFFFF"/>
            <w:vAlign w:val="center"/>
          </w:tcPr>
          <w:p>
            <w:pPr>
              <w:pStyle w:val="112"/>
              <w:spacing w:beforeLines="0" w:after="0" w:line="0" w:lineRule="atLeast"/>
              <w:ind w:left="0" w:leftChars="0"/>
            </w:pPr>
            <w:r>
              <w:rPr>
                <w:rFonts w:hint="eastAsia"/>
              </w:rPr>
              <w:t>—</w:t>
            </w:r>
          </w:p>
        </w:tc>
        <w:tc>
          <w:tcPr>
            <w:tcW w:w="888" w:type="dxa"/>
            <w:shd w:val="clear" w:color="auto" w:fill="FFFFFF"/>
            <w:vAlign w:val="center"/>
          </w:tcPr>
          <w:p>
            <w:pPr>
              <w:pStyle w:val="112"/>
              <w:spacing w:beforeLines="0" w:after="0" w:line="0" w:lineRule="atLeast"/>
              <w:ind w:left="0" w:leftChars="0"/>
            </w:pPr>
            <w:r>
              <w:rPr>
                <w:rFonts w:hint="eastAsia"/>
              </w:rPr>
              <w:t>≥50</w:t>
            </w:r>
          </w:p>
        </w:tc>
        <w:tc>
          <w:tcPr>
            <w:tcW w:w="845" w:type="dxa"/>
            <w:shd w:val="clear" w:color="auto" w:fill="FFFFFF"/>
            <w:vAlign w:val="center"/>
          </w:tcPr>
          <w:p>
            <w:pPr>
              <w:pStyle w:val="112"/>
              <w:spacing w:beforeLines="0" w:after="0" w:line="0" w:lineRule="atLeast"/>
              <w:ind w:left="0" w:leftChars="0"/>
            </w:pPr>
            <w:r>
              <w:rPr>
                <w:rFonts w:hint="eastAsia"/>
              </w:rPr>
              <w:t>≥100</w:t>
            </w:r>
          </w:p>
        </w:tc>
      </w:tr>
    </w:tbl>
    <w:p>
      <w:pPr>
        <w:spacing w:beforeLines="0" w:line="0" w:lineRule="atLeast"/>
        <w:ind w:left="0" w:leftChars="0"/>
      </w:pPr>
    </w:p>
    <w:p>
      <w:pPr>
        <w:pStyle w:val="126"/>
        <w:spacing w:before="156" w:after="156"/>
        <w:sectPr>
          <w:pgSz w:w="11906" w:h="16838"/>
          <w:pgMar w:top="1440" w:right="1800" w:bottom="1440" w:left="1800" w:header="851" w:footer="992" w:gutter="0"/>
          <w:cols w:space="425" w:num="1"/>
          <w:docGrid w:type="lines" w:linePitch="312" w:charSpace="0"/>
        </w:sectPr>
      </w:pPr>
    </w:p>
    <w:p>
      <w:pPr>
        <w:pStyle w:val="3"/>
        <w:spacing w:before="156" w:after="156"/>
        <w:rPr>
          <w:rFonts w:ascii="Arial" w:hAnsi="Arial"/>
        </w:rPr>
      </w:pPr>
      <w:bookmarkStart w:id="368" w:name="_Toc492850141"/>
      <w:r>
        <w:rPr>
          <w:rFonts w:hint="eastAsia" w:ascii="Arial" w:hAnsi="Arial"/>
        </w:rPr>
        <w:t>附表2：规划城镇等级规模（2030年）</w:t>
      </w:r>
      <w:bookmarkEnd w:id="368"/>
    </w:p>
    <w:tbl>
      <w:tblPr>
        <w:tblStyle w:val="55"/>
        <w:tblW w:w="8496" w:type="dxa"/>
        <w:tblInd w:w="-47"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276"/>
        <w:gridCol w:w="1701"/>
        <w:gridCol w:w="1269"/>
        <w:gridCol w:w="425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trPr>
        <w:tc>
          <w:tcPr>
            <w:tcW w:w="1276" w:type="dxa"/>
            <w:shd w:val="clear" w:color="auto" w:fill="auto"/>
            <w:tcMar>
              <w:top w:w="14" w:type="dxa"/>
              <w:left w:w="95" w:type="dxa"/>
              <w:bottom w:w="0" w:type="dxa"/>
              <w:right w:w="95" w:type="dxa"/>
            </w:tcMar>
            <w:vAlign w:val="center"/>
          </w:tcPr>
          <w:p>
            <w:pPr>
              <w:pStyle w:val="112"/>
              <w:spacing w:beforeLines="0" w:after="0" w:line="0" w:lineRule="atLeast"/>
              <w:ind w:left="0" w:leftChars="0"/>
              <w:rPr>
                <w:b/>
              </w:rPr>
            </w:pPr>
            <w:r>
              <w:rPr>
                <w:rFonts w:hint="eastAsia"/>
                <w:b/>
              </w:rPr>
              <w:t>等级</w:t>
            </w:r>
          </w:p>
        </w:tc>
        <w:tc>
          <w:tcPr>
            <w:tcW w:w="1701" w:type="dxa"/>
            <w:shd w:val="clear" w:color="auto" w:fill="auto"/>
            <w:tcMar>
              <w:top w:w="14" w:type="dxa"/>
              <w:left w:w="95" w:type="dxa"/>
              <w:bottom w:w="0" w:type="dxa"/>
              <w:right w:w="95" w:type="dxa"/>
            </w:tcMar>
            <w:vAlign w:val="center"/>
          </w:tcPr>
          <w:p>
            <w:pPr>
              <w:pStyle w:val="112"/>
              <w:spacing w:beforeLines="0" w:after="0" w:line="0" w:lineRule="atLeast"/>
              <w:ind w:left="0" w:leftChars="0"/>
              <w:rPr>
                <w:b/>
              </w:rPr>
            </w:pPr>
            <w:r>
              <w:rPr>
                <w:rFonts w:hint="eastAsia"/>
                <w:b/>
              </w:rPr>
              <w:t>人口规模（万人）</w:t>
            </w:r>
          </w:p>
        </w:tc>
        <w:tc>
          <w:tcPr>
            <w:tcW w:w="1269" w:type="dxa"/>
            <w:shd w:val="clear" w:color="auto" w:fill="auto"/>
            <w:tcMar>
              <w:top w:w="14" w:type="dxa"/>
              <w:left w:w="95" w:type="dxa"/>
              <w:bottom w:w="0" w:type="dxa"/>
              <w:right w:w="95" w:type="dxa"/>
            </w:tcMar>
            <w:vAlign w:val="center"/>
          </w:tcPr>
          <w:p>
            <w:pPr>
              <w:pStyle w:val="112"/>
              <w:spacing w:beforeLines="0" w:after="0" w:line="0" w:lineRule="atLeast"/>
              <w:ind w:left="0" w:leftChars="0"/>
              <w:rPr>
                <w:b/>
              </w:rPr>
            </w:pPr>
            <w:r>
              <w:rPr>
                <w:rFonts w:hint="eastAsia"/>
                <w:b/>
              </w:rPr>
              <w:t>城镇个数</w:t>
            </w:r>
          </w:p>
        </w:tc>
        <w:tc>
          <w:tcPr>
            <w:tcW w:w="4250" w:type="dxa"/>
            <w:shd w:val="clear" w:color="auto" w:fill="auto"/>
            <w:tcMar>
              <w:top w:w="14" w:type="dxa"/>
              <w:left w:w="95" w:type="dxa"/>
              <w:bottom w:w="0" w:type="dxa"/>
              <w:right w:w="95" w:type="dxa"/>
            </w:tcMar>
            <w:vAlign w:val="center"/>
          </w:tcPr>
          <w:p>
            <w:pPr>
              <w:pStyle w:val="112"/>
              <w:spacing w:beforeLines="0" w:after="0" w:line="0" w:lineRule="atLeast"/>
              <w:ind w:left="0" w:leftChars="0"/>
              <w:rPr>
                <w:b/>
              </w:rPr>
            </w:pPr>
            <w:r>
              <w:rPr>
                <w:rFonts w:hint="eastAsia"/>
                <w:b/>
              </w:rPr>
              <w:t>城镇名称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trPr>
        <w:tc>
          <w:tcPr>
            <w:tcW w:w="1276" w:type="dxa"/>
            <w:shd w:val="clear" w:color="auto" w:fill="auto"/>
            <w:tcMar>
              <w:top w:w="14" w:type="dxa"/>
              <w:left w:w="95" w:type="dxa"/>
              <w:bottom w:w="0" w:type="dxa"/>
              <w:right w:w="95" w:type="dxa"/>
            </w:tcMar>
            <w:vAlign w:val="center"/>
          </w:tcPr>
          <w:p>
            <w:pPr>
              <w:pStyle w:val="112"/>
              <w:spacing w:beforeLines="0" w:after="0" w:line="0" w:lineRule="atLeast"/>
              <w:ind w:left="0" w:leftChars="0"/>
            </w:pPr>
            <w:r>
              <w:t>Ⅱ型</w:t>
            </w:r>
            <w:r>
              <w:rPr>
                <w:rFonts w:hint="eastAsia"/>
              </w:rPr>
              <w:t>大城市</w:t>
            </w:r>
          </w:p>
        </w:tc>
        <w:tc>
          <w:tcPr>
            <w:tcW w:w="1701" w:type="dxa"/>
            <w:shd w:val="clear" w:color="auto" w:fill="auto"/>
            <w:tcMar>
              <w:top w:w="14" w:type="dxa"/>
              <w:left w:w="95" w:type="dxa"/>
              <w:bottom w:w="0" w:type="dxa"/>
              <w:right w:w="95" w:type="dxa"/>
            </w:tcMar>
            <w:vAlign w:val="center"/>
          </w:tcPr>
          <w:p>
            <w:pPr>
              <w:pStyle w:val="112"/>
              <w:spacing w:beforeLines="0" w:after="0" w:line="0" w:lineRule="atLeast"/>
              <w:ind w:left="0" w:leftChars="0"/>
            </w:pPr>
            <w:r>
              <w:t>132</w:t>
            </w:r>
          </w:p>
        </w:tc>
        <w:tc>
          <w:tcPr>
            <w:tcW w:w="1269"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 xml:space="preserve">1 </w:t>
            </w:r>
          </w:p>
        </w:tc>
        <w:tc>
          <w:tcPr>
            <w:tcW w:w="4250"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晋中中心城区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trPr>
        <w:tc>
          <w:tcPr>
            <w:tcW w:w="1276" w:type="dxa"/>
            <w:vMerge w:val="restart"/>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ascii="宋体" w:hAnsi="宋体" w:cs="宋体"/>
              </w:rPr>
              <w:t>Ⅰ</w:t>
            </w:r>
            <w:r>
              <w:t>型</w:t>
            </w:r>
            <w:r>
              <w:rPr>
                <w:rFonts w:hint="eastAsia"/>
              </w:rPr>
              <w:t>小城市</w:t>
            </w:r>
          </w:p>
        </w:tc>
        <w:tc>
          <w:tcPr>
            <w:tcW w:w="1701"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30-50</w:t>
            </w:r>
          </w:p>
        </w:tc>
        <w:tc>
          <w:tcPr>
            <w:tcW w:w="1269"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 xml:space="preserve">1 </w:t>
            </w:r>
          </w:p>
        </w:tc>
        <w:tc>
          <w:tcPr>
            <w:tcW w:w="4250"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介休城区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81" w:hRule="atLeast"/>
        </w:trPr>
        <w:tc>
          <w:tcPr>
            <w:tcW w:w="1276" w:type="dxa"/>
            <w:vMerge w:val="continue"/>
            <w:vAlign w:val="center"/>
          </w:tcPr>
          <w:p>
            <w:pPr>
              <w:pStyle w:val="112"/>
              <w:spacing w:beforeLines="0" w:after="0" w:line="0" w:lineRule="atLeast"/>
              <w:ind w:left="0" w:leftChars="0"/>
            </w:pPr>
          </w:p>
        </w:tc>
        <w:tc>
          <w:tcPr>
            <w:tcW w:w="1701"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20-30</w:t>
            </w:r>
          </w:p>
        </w:tc>
        <w:tc>
          <w:tcPr>
            <w:tcW w:w="1269"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 xml:space="preserve">2 </w:t>
            </w:r>
          </w:p>
        </w:tc>
        <w:tc>
          <w:tcPr>
            <w:tcW w:w="4250"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平遥县城、太谷县城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trPr>
        <w:tc>
          <w:tcPr>
            <w:tcW w:w="1276" w:type="dxa"/>
            <w:shd w:val="clear" w:color="auto" w:fill="auto"/>
            <w:tcMar>
              <w:top w:w="14" w:type="dxa"/>
              <w:left w:w="95" w:type="dxa"/>
              <w:bottom w:w="0" w:type="dxa"/>
              <w:right w:w="95" w:type="dxa"/>
            </w:tcMar>
            <w:vAlign w:val="center"/>
          </w:tcPr>
          <w:p>
            <w:pPr>
              <w:pStyle w:val="112"/>
              <w:spacing w:beforeLines="0" w:after="0" w:line="0" w:lineRule="atLeast"/>
              <w:ind w:left="0" w:leftChars="0"/>
            </w:pPr>
            <w:r>
              <w:t>Ⅱ型</w:t>
            </w:r>
            <w:r>
              <w:rPr>
                <w:rFonts w:hint="eastAsia"/>
              </w:rPr>
              <w:t>小城市</w:t>
            </w:r>
          </w:p>
        </w:tc>
        <w:tc>
          <w:tcPr>
            <w:tcW w:w="1701"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10-20</w:t>
            </w:r>
          </w:p>
        </w:tc>
        <w:tc>
          <w:tcPr>
            <w:tcW w:w="1269"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 xml:space="preserve">2 </w:t>
            </w:r>
          </w:p>
        </w:tc>
        <w:tc>
          <w:tcPr>
            <w:tcW w:w="4250"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灵石县城、祁县县城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trPr>
        <w:tc>
          <w:tcPr>
            <w:tcW w:w="1276" w:type="dxa"/>
            <w:vMerge w:val="restart"/>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小城镇</w:t>
            </w:r>
          </w:p>
        </w:tc>
        <w:tc>
          <w:tcPr>
            <w:tcW w:w="1701"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5-10</w:t>
            </w:r>
          </w:p>
        </w:tc>
        <w:tc>
          <w:tcPr>
            <w:tcW w:w="1269"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 xml:space="preserve">5 </w:t>
            </w:r>
          </w:p>
        </w:tc>
        <w:tc>
          <w:tcPr>
            <w:tcW w:w="4250" w:type="dxa"/>
            <w:shd w:val="clear" w:color="auto" w:fill="auto"/>
            <w:tcMar>
              <w:top w:w="14" w:type="dxa"/>
              <w:left w:w="14" w:type="dxa"/>
              <w:bottom w:w="0" w:type="dxa"/>
              <w:right w:w="14" w:type="dxa"/>
            </w:tcMar>
            <w:vAlign w:val="bottom"/>
          </w:tcPr>
          <w:p>
            <w:pPr>
              <w:pStyle w:val="112"/>
              <w:spacing w:beforeLines="0" w:after="0" w:line="0" w:lineRule="atLeast"/>
              <w:ind w:left="0" w:leftChars="0"/>
            </w:pPr>
            <w:r>
              <w:rPr>
                <w:rFonts w:hint="eastAsia"/>
              </w:rPr>
              <w:t>寿阳县城、昔阳县城、左权县城、和顺县城、榆社县城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trPr>
        <w:tc>
          <w:tcPr>
            <w:tcW w:w="1276" w:type="dxa"/>
            <w:vMerge w:val="continue"/>
            <w:vAlign w:val="center"/>
          </w:tcPr>
          <w:p>
            <w:pPr>
              <w:pStyle w:val="112"/>
              <w:spacing w:beforeLines="0" w:after="0" w:line="0" w:lineRule="atLeast"/>
              <w:ind w:left="0" w:leftChars="0"/>
            </w:pPr>
          </w:p>
        </w:tc>
        <w:tc>
          <w:tcPr>
            <w:tcW w:w="1701"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2-5</w:t>
            </w:r>
          </w:p>
        </w:tc>
        <w:tc>
          <w:tcPr>
            <w:tcW w:w="1269"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 xml:space="preserve">4 </w:t>
            </w:r>
          </w:p>
        </w:tc>
        <w:tc>
          <w:tcPr>
            <w:tcW w:w="4250" w:type="dxa"/>
            <w:shd w:val="clear" w:color="auto" w:fill="auto"/>
            <w:tcMar>
              <w:top w:w="14" w:type="dxa"/>
              <w:left w:w="14" w:type="dxa"/>
              <w:bottom w:w="0" w:type="dxa"/>
              <w:right w:w="14" w:type="dxa"/>
            </w:tcMar>
            <w:vAlign w:val="bottom"/>
          </w:tcPr>
          <w:p>
            <w:pPr>
              <w:pStyle w:val="112"/>
              <w:spacing w:beforeLines="0" w:after="0" w:line="0" w:lineRule="atLeast"/>
              <w:ind w:left="0" w:leftChars="0"/>
            </w:pPr>
            <w:r>
              <w:rPr>
                <w:rFonts w:hint="eastAsia"/>
              </w:rPr>
              <w:t>东阳镇区、南关镇区、胡村镇区、水秀镇区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440" w:hRule="atLeast"/>
        </w:trPr>
        <w:tc>
          <w:tcPr>
            <w:tcW w:w="1276" w:type="dxa"/>
            <w:vMerge w:val="continue"/>
            <w:vAlign w:val="center"/>
          </w:tcPr>
          <w:p>
            <w:pPr>
              <w:pStyle w:val="112"/>
              <w:spacing w:beforeLines="0" w:after="0" w:line="0" w:lineRule="atLeast"/>
              <w:ind w:left="0" w:leftChars="0"/>
            </w:pPr>
          </w:p>
        </w:tc>
        <w:tc>
          <w:tcPr>
            <w:tcW w:w="1701"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1-2</w:t>
            </w:r>
          </w:p>
        </w:tc>
        <w:tc>
          <w:tcPr>
            <w:tcW w:w="1269"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14</w:t>
            </w:r>
          </w:p>
        </w:tc>
        <w:tc>
          <w:tcPr>
            <w:tcW w:w="4250" w:type="dxa"/>
            <w:shd w:val="clear" w:color="auto" w:fill="auto"/>
            <w:tcMar>
              <w:top w:w="14" w:type="dxa"/>
              <w:left w:w="14" w:type="dxa"/>
              <w:bottom w:w="0" w:type="dxa"/>
              <w:right w:w="14" w:type="dxa"/>
            </w:tcMar>
            <w:vAlign w:val="bottom"/>
          </w:tcPr>
          <w:p>
            <w:pPr>
              <w:pStyle w:val="112"/>
              <w:spacing w:beforeLines="0" w:after="0" w:line="0" w:lineRule="atLeast"/>
              <w:ind w:left="0" w:leftChars="0"/>
            </w:pPr>
            <w:r>
              <w:rPr>
                <w:rFonts w:hint="eastAsia"/>
              </w:rPr>
              <w:t>北田镇区、义安镇区、张兰镇区、段村镇区、洪善镇区、东观镇区、贾令镇区、两渡镇区、云竹镇区、麻田镇区、李阳镇区、大寨镇区、宗艾镇区、平头镇区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20" w:hRule="atLeast"/>
        </w:trPr>
        <w:tc>
          <w:tcPr>
            <w:tcW w:w="1276" w:type="dxa"/>
            <w:vMerge w:val="continue"/>
            <w:vAlign w:val="center"/>
          </w:tcPr>
          <w:p>
            <w:pPr>
              <w:pStyle w:val="112"/>
              <w:spacing w:beforeLines="0" w:after="0" w:line="0" w:lineRule="atLeast"/>
              <w:ind w:left="0" w:leftChars="0"/>
            </w:pPr>
          </w:p>
        </w:tc>
        <w:tc>
          <w:tcPr>
            <w:tcW w:w="1701"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&lt;1</w:t>
            </w:r>
          </w:p>
        </w:tc>
        <w:tc>
          <w:tcPr>
            <w:tcW w:w="1269" w:type="dxa"/>
            <w:shd w:val="clear" w:color="auto" w:fill="auto"/>
            <w:tcMar>
              <w:top w:w="14" w:type="dxa"/>
              <w:left w:w="95" w:type="dxa"/>
              <w:bottom w:w="0" w:type="dxa"/>
              <w:right w:w="95" w:type="dxa"/>
            </w:tcMar>
            <w:vAlign w:val="center"/>
          </w:tcPr>
          <w:p>
            <w:pPr>
              <w:pStyle w:val="112"/>
              <w:spacing w:beforeLines="0" w:after="0" w:line="0" w:lineRule="atLeast"/>
              <w:ind w:left="0" w:leftChars="0"/>
            </w:pPr>
            <w:r>
              <w:rPr>
                <w:rFonts w:hint="eastAsia"/>
              </w:rPr>
              <w:t>35</w:t>
            </w:r>
          </w:p>
        </w:tc>
        <w:tc>
          <w:tcPr>
            <w:tcW w:w="4250" w:type="dxa"/>
            <w:shd w:val="clear" w:color="auto" w:fill="auto"/>
            <w:tcMar>
              <w:top w:w="14" w:type="dxa"/>
              <w:left w:w="14" w:type="dxa"/>
              <w:bottom w:w="0" w:type="dxa"/>
              <w:right w:w="14" w:type="dxa"/>
            </w:tcMar>
            <w:vAlign w:val="bottom"/>
          </w:tcPr>
          <w:p>
            <w:pPr>
              <w:pStyle w:val="112"/>
              <w:spacing w:beforeLines="0" w:after="0" w:line="0" w:lineRule="atLeast"/>
              <w:ind w:left="0" w:leftChars="0"/>
            </w:pPr>
            <w:r>
              <w:rPr>
                <w:rFonts w:hint="eastAsia"/>
              </w:rPr>
              <w:t>长凝镇区、什贴镇区、绵山镇区、龙凤镇区、连福镇区、洪山镇区、义棠镇区、范村镇区、侯城镇区、宁固镇区、东泉镇区、中都镇区、南政镇区、岳壁镇区、城赵镇区、来远镇区、古县镇区、段纯镇区、夏门镇区、郝北镇区、社城镇区、桐峪镇区、拐儿镇区、芹泉镇区、青城镇区、松烟镇区、横岭镇区、皋落镇区、冶头镇区、沾尚镇区、尹灵芝镇区、南燕竹镇区、松塔镇区、西洛镇区、方山镇区</w:t>
            </w:r>
          </w:p>
        </w:tc>
      </w:tr>
    </w:tbl>
    <w:p>
      <w:pPr>
        <w:pStyle w:val="126"/>
        <w:spacing w:before="156" w:after="156"/>
      </w:pPr>
    </w:p>
    <w:p>
      <w:pPr>
        <w:pStyle w:val="3"/>
        <w:spacing w:before="156" w:after="156"/>
        <w:rPr>
          <w:rFonts w:ascii="Arial" w:hAnsi="Arial"/>
        </w:rPr>
        <w:sectPr>
          <w:pgSz w:w="11906" w:h="16838"/>
          <w:pgMar w:top="1440" w:right="1800" w:bottom="1440" w:left="1800" w:header="851" w:footer="992" w:gutter="0"/>
          <w:cols w:space="425" w:num="1"/>
          <w:docGrid w:type="lines" w:linePitch="312" w:charSpace="0"/>
        </w:sectPr>
      </w:pPr>
    </w:p>
    <w:p>
      <w:pPr>
        <w:pStyle w:val="3"/>
        <w:spacing w:before="156" w:after="156"/>
        <w:rPr>
          <w:rFonts w:ascii="Arial" w:hAnsi="Arial"/>
        </w:rPr>
      </w:pPr>
      <w:bookmarkStart w:id="369" w:name="_Toc492850142"/>
      <w:r>
        <w:rPr>
          <w:rFonts w:hint="eastAsia" w:ascii="Arial" w:hAnsi="Arial"/>
        </w:rPr>
        <w:t>附表3：规划重点城镇职能（2030年）</w:t>
      </w:r>
      <w:bookmarkEnd w:id="369"/>
    </w:p>
    <w:tbl>
      <w:tblPr>
        <w:tblStyle w:val="55"/>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5"/>
        <w:gridCol w:w="1135"/>
        <w:gridCol w:w="1133"/>
        <w:gridCol w:w="48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jc w:val="center"/>
        </w:trPr>
        <w:tc>
          <w:tcPr>
            <w:tcW w:w="1385" w:type="dxa"/>
          </w:tcPr>
          <w:p>
            <w:pPr>
              <w:pStyle w:val="112"/>
              <w:spacing w:beforeLines="0" w:after="0" w:line="240" w:lineRule="auto"/>
              <w:ind w:left="0" w:leftChars="0"/>
              <w:rPr>
                <w:b/>
              </w:rPr>
            </w:pPr>
            <w:r>
              <w:rPr>
                <w:rFonts w:hint="eastAsia"/>
                <w:b/>
              </w:rPr>
              <w:t>城镇级别</w:t>
            </w:r>
          </w:p>
        </w:tc>
        <w:tc>
          <w:tcPr>
            <w:tcW w:w="1135" w:type="dxa"/>
            <w:shd w:val="clear" w:color="auto" w:fill="auto"/>
            <w:vAlign w:val="center"/>
          </w:tcPr>
          <w:p>
            <w:pPr>
              <w:pStyle w:val="112"/>
              <w:spacing w:beforeLines="0" w:after="0" w:line="240" w:lineRule="auto"/>
              <w:ind w:left="0" w:leftChars="0"/>
              <w:rPr>
                <w:b/>
              </w:rPr>
            </w:pPr>
            <w:r>
              <w:rPr>
                <w:rFonts w:hint="eastAsia"/>
                <w:b/>
              </w:rPr>
              <w:t>城镇名称</w:t>
            </w:r>
          </w:p>
        </w:tc>
        <w:tc>
          <w:tcPr>
            <w:tcW w:w="1133" w:type="dxa"/>
          </w:tcPr>
          <w:p>
            <w:pPr>
              <w:pStyle w:val="112"/>
              <w:spacing w:beforeLines="0" w:after="0" w:line="240" w:lineRule="auto"/>
              <w:ind w:left="0" w:leftChars="0"/>
              <w:rPr>
                <w:b/>
              </w:rPr>
            </w:pPr>
            <w:r>
              <w:rPr>
                <w:rFonts w:hint="eastAsia"/>
                <w:b/>
              </w:rPr>
              <w:t>职能类型</w:t>
            </w:r>
          </w:p>
        </w:tc>
        <w:tc>
          <w:tcPr>
            <w:tcW w:w="4869" w:type="dxa"/>
            <w:shd w:val="clear" w:color="auto" w:fill="auto"/>
            <w:vAlign w:val="center"/>
          </w:tcPr>
          <w:p>
            <w:pPr>
              <w:pStyle w:val="112"/>
              <w:spacing w:beforeLines="0" w:after="0" w:line="240" w:lineRule="auto"/>
              <w:ind w:left="0" w:leftChars="0"/>
              <w:rPr>
                <w:b/>
              </w:rPr>
            </w:pPr>
            <w:r>
              <w:rPr>
                <w:rFonts w:hint="eastAsia"/>
                <w:b/>
              </w:rPr>
              <w:t>主要职能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9" w:hRule="atLeast"/>
          <w:jc w:val="center"/>
        </w:trPr>
        <w:tc>
          <w:tcPr>
            <w:tcW w:w="1385" w:type="dxa"/>
          </w:tcPr>
          <w:p>
            <w:pPr>
              <w:pStyle w:val="112"/>
              <w:spacing w:beforeLines="0" w:after="0" w:line="240" w:lineRule="auto"/>
              <w:ind w:left="0" w:leftChars="0"/>
            </w:pPr>
            <w:r>
              <w:rPr>
                <w:rFonts w:hint="eastAsia"/>
              </w:rPr>
              <w:t>与太原同城发展的省域核心，市域中心</w:t>
            </w:r>
          </w:p>
        </w:tc>
        <w:tc>
          <w:tcPr>
            <w:tcW w:w="1135" w:type="dxa"/>
            <w:shd w:val="clear" w:color="auto" w:fill="auto"/>
            <w:vAlign w:val="center"/>
          </w:tcPr>
          <w:p>
            <w:pPr>
              <w:pStyle w:val="112"/>
              <w:spacing w:beforeLines="0" w:after="0" w:line="240" w:lineRule="auto"/>
              <w:ind w:left="0" w:leftChars="0"/>
            </w:pPr>
            <w:r>
              <w:rPr>
                <w:rFonts w:hint="eastAsia"/>
              </w:rPr>
              <w:t>晋中城区</w:t>
            </w:r>
          </w:p>
        </w:tc>
        <w:tc>
          <w:tcPr>
            <w:tcW w:w="1133" w:type="dxa"/>
            <w:vAlign w:val="center"/>
          </w:tcPr>
          <w:p>
            <w:pPr>
              <w:pStyle w:val="112"/>
              <w:spacing w:beforeLines="0" w:after="0" w:line="240" w:lineRule="auto"/>
              <w:ind w:left="0" w:leftChars="0"/>
            </w:pPr>
            <w:r>
              <w:rPr>
                <w:rFonts w:hint="eastAsia"/>
              </w:rPr>
              <w:t>综合型</w:t>
            </w:r>
          </w:p>
        </w:tc>
        <w:tc>
          <w:tcPr>
            <w:tcW w:w="4869" w:type="dxa"/>
            <w:shd w:val="clear" w:color="auto" w:fill="auto"/>
            <w:vAlign w:val="center"/>
          </w:tcPr>
          <w:p>
            <w:pPr>
              <w:pStyle w:val="112"/>
              <w:spacing w:beforeLines="0" w:after="0" w:line="240" w:lineRule="auto"/>
              <w:ind w:left="0" w:leftChars="0"/>
            </w:pPr>
            <w:r>
              <w:rPr>
                <w:rFonts w:hint="eastAsia"/>
              </w:rPr>
              <w:t>山西省中部的交通枢纽和商贸物流基地</w:t>
            </w:r>
          </w:p>
          <w:p>
            <w:pPr>
              <w:pStyle w:val="112"/>
              <w:spacing w:beforeLines="0" w:after="0" w:line="240" w:lineRule="auto"/>
              <w:ind w:left="0" w:leftChars="0"/>
            </w:pPr>
            <w:r>
              <w:rPr>
                <w:rFonts w:hint="eastAsia"/>
              </w:rPr>
              <w:t>山西省以机械装备、汽车为主的先进制造业基地</w:t>
            </w:r>
          </w:p>
          <w:p>
            <w:pPr>
              <w:pStyle w:val="112"/>
              <w:spacing w:beforeLines="0" w:after="0" w:line="240" w:lineRule="auto"/>
              <w:ind w:left="0" w:leftChars="0"/>
            </w:pPr>
            <w:r>
              <w:rPr>
                <w:rFonts w:hint="eastAsia"/>
              </w:rPr>
              <w:t>山西省重要的高等教育中心和研发培训基地</w:t>
            </w:r>
          </w:p>
          <w:p>
            <w:pPr>
              <w:pStyle w:val="112"/>
              <w:spacing w:beforeLines="0" w:after="0" w:line="240" w:lineRule="auto"/>
              <w:ind w:left="0" w:leftChars="0"/>
            </w:pPr>
            <w:r>
              <w:rPr>
                <w:rFonts w:hint="eastAsia"/>
              </w:rPr>
              <w:t>品质优良、文化底蕴深厚的宜居城市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3" w:hRule="atLeast"/>
          <w:jc w:val="center"/>
        </w:trPr>
        <w:tc>
          <w:tcPr>
            <w:tcW w:w="1385" w:type="dxa"/>
            <w:vAlign w:val="center"/>
          </w:tcPr>
          <w:p>
            <w:pPr>
              <w:pStyle w:val="112"/>
              <w:spacing w:beforeLines="0" w:after="0" w:line="240" w:lineRule="auto"/>
              <w:ind w:left="0" w:leftChars="0"/>
            </w:pPr>
            <w:r>
              <w:rPr>
                <w:rFonts w:hint="eastAsia"/>
              </w:rPr>
              <w:t>市域副中心</w:t>
            </w:r>
          </w:p>
        </w:tc>
        <w:tc>
          <w:tcPr>
            <w:tcW w:w="1135" w:type="dxa"/>
            <w:shd w:val="clear" w:color="auto" w:fill="auto"/>
            <w:vAlign w:val="center"/>
          </w:tcPr>
          <w:p>
            <w:pPr>
              <w:pStyle w:val="112"/>
              <w:spacing w:beforeLines="0" w:after="0" w:line="240" w:lineRule="auto"/>
              <w:ind w:left="0" w:leftChars="0"/>
            </w:pPr>
            <w:r>
              <w:rPr>
                <w:rFonts w:hint="eastAsia"/>
              </w:rPr>
              <w:t>介休城区</w:t>
            </w:r>
          </w:p>
        </w:tc>
        <w:tc>
          <w:tcPr>
            <w:tcW w:w="1133" w:type="dxa"/>
            <w:vAlign w:val="center"/>
          </w:tcPr>
          <w:p>
            <w:pPr>
              <w:pStyle w:val="112"/>
              <w:spacing w:beforeLines="0" w:after="0" w:line="240" w:lineRule="auto"/>
              <w:ind w:left="0" w:leftChars="0"/>
            </w:pPr>
            <w:r>
              <w:rPr>
                <w:rFonts w:hint="eastAsia"/>
              </w:rPr>
              <w:t>综合型</w:t>
            </w:r>
          </w:p>
        </w:tc>
        <w:tc>
          <w:tcPr>
            <w:tcW w:w="4869" w:type="dxa"/>
            <w:shd w:val="clear" w:color="auto" w:fill="auto"/>
            <w:vAlign w:val="center"/>
          </w:tcPr>
          <w:p>
            <w:pPr>
              <w:pStyle w:val="112"/>
              <w:spacing w:beforeLines="0" w:after="0" w:line="240" w:lineRule="auto"/>
              <w:ind w:left="0" w:leftChars="0"/>
            </w:pPr>
            <w:r>
              <w:rPr>
                <w:rFonts w:hint="eastAsia"/>
              </w:rPr>
              <w:t>区域性交通枢纽，以冶金、建材、煤化工业为主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1" w:hRule="atLeast"/>
          <w:jc w:val="center"/>
        </w:trPr>
        <w:tc>
          <w:tcPr>
            <w:tcW w:w="1385" w:type="dxa"/>
            <w:vAlign w:val="center"/>
          </w:tcPr>
          <w:p>
            <w:pPr>
              <w:pStyle w:val="112"/>
              <w:spacing w:beforeLines="0" w:after="0" w:line="240" w:lineRule="auto"/>
              <w:ind w:left="0" w:leftChars="0"/>
            </w:pPr>
            <w:r>
              <w:rPr>
                <w:rFonts w:hint="eastAsia"/>
              </w:rPr>
              <w:t>市域旅游服务中心</w:t>
            </w:r>
          </w:p>
        </w:tc>
        <w:tc>
          <w:tcPr>
            <w:tcW w:w="1135" w:type="dxa"/>
            <w:shd w:val="clear" w:color="auto" w:fill="auto"/>
            <w:vAlign w:val="center"/>
          </w:tcPr>
          <w:p>
            <w:pPr>
              <w:pStyle w:val="112"/>
              <w:spacing w:beforeLines="0" w:after="0" w:line="240" w:lineRule="auto"/>
              <w:ind w:left="0" w:leftChars="0"/>
            </w:pPr>
            <w:r>
              <w:rPr>
                <w:rFonts w:hint="eastAsia"/>
              </w:rPr>
              <w:t>平遥县城</w:t>
            </w:r>
          </w:p>
        </w:tc>
        <w:tc>
          <w:tcPr>
            <w:tcW w:w="1133" w:type="dxa"/>
          </w:tcPr>
          <w:p>
            <w:pPr>
              <w:pStyle w:val="112"/>
              <w:spacing w:beforeLines="0" w:after="0" w:line="240" w:lineRule="auto"/>
              <w:ind w:left="0" w:leftChars="0"/>
            </w:pPr>
            <w:r>
              <w:rPr>
                <w:rFonts w:hint="eastAsia"/>
              </w:rPr>
              <w:t>综合型</w:t>
            </w:r>
          </w:p>
        </w:tc>
        <w:tc>
          <w:tcPr>
            <w:tcW w:w="4869" w:type="dxa"/>
            <w:shd w:val="clear" w:color="auto" w:fill="auto"/>
            <w:vAlign w:val="center"/>
          </w:tcPr>
          <w:p>
            <w:pPr>
              <w:pStyle w:val="112"/>
              <w:spacing w:beforeLines="0" w:after="0" w:line="240" w:lineRule="auto"/>
              <w:ind w:left="0" w:leftChars="0"/>
            </w:pPr>
            <w:r>
              <w:rPr>
                <w:rFonts w:hint="eastAsia"/>
              </w:rPr>
              <w:t>国家级历史文化名城，以轻工、旅游服务业为主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5" w:hRule="atLeast"/>
          <w:jc w:val="center"/>
        </w:trPr>
        <w:tc>
          <w:tcPr>
            <w:tcW w:w="1385" w:type="dxa"/>
            <w:vMerge w:val="restart"/>
            <w:vAlign w:val="center"/>
          </w:tcPr>
          <w:p>
            <w:pPr>
              <w:pStyle w:val="112"/>
              <w:spacing w:beforeLines="0" w:after="0" w:line="240" w:lineRule="auto"/>
              <w:ind w:left="0" w:leftChars="0"/>
            </w:pPr>
            <w:r>
              <w:rPr>
                <w:rFonts w:hint="eastAsia"/>
              </w:rPr>
              <w:t>县域中心</w:t>
            </w:r>
          </w:p>
        </w:tc>
        <w:tc>
          <w:tcPr>
            <w:tcW w:w="1135" w:type="dxa"/>
            <w:shd w:val="clear" w:color="auto" w:fill="auto"/>
            <w:vAlign w:val="center"/>
          </w:tcPr>
          <w:p>
            <w:pPr>
              <w:pStyle w:val="112"/>
              <w:spacing w:beforeLines="0" w:after="0" w:line="240" w:lineRule="auto"/>
              <w:ind w:left="0" w:leftChars="0"/>
            </w:pPr>
            <w:r>
              <w:rPr>
                <w:rFonts w:hint="eastAsia"/>
              </w:rPr>
              <w:t>祁县县城</w:t>
            </w:r>
          </w:p>
        </w:tc>
        <w:tc>
          <w:tcPr>
            <w:tcW w:w="1133" w:type="dxa"/>
          </w:tcPr>
          <w:p>
            <w:pPr>
              <w:pStyle w:val="112"/>
              <w:spacing w:beforeLines="0" w:after="0" w:line="240" w:lineRule="auto"/>
              <w:ind w:left="0" w:leftChars="0"/>
            </w:pPr>
            <w:r>
              <w:rPr>
                <w:rFonts w:hint="eastAsia"/>
              </w:rPr>
              <w:t>综合型</w:t>
            </w:r>
          </w:p>
        </w:tc>
        <w:tc>
          <w:tcPr>
            <w:tcW w:w="4869" w:type="dxa"/>
            <w:shd w:val="clear" w:color="auto" w:fill="auto"/>
            <w:vAlign w:val="center"/>
          </w:tcPr>
          <w:p>
            <w:pPr>
              <w:pStyle w:val="112"/>
              <w:spacing w:beforeLines="0" w:after="0" w:line="240" w:lineRule="auto"/>
              <w:ind w:left="0" w:leftChars="0"/>
            </w:pPr>
            <w:r>
              <w:rPr>
                <w:rFonts w:hint="eastAsia"/>
              </w:rPr>
              <w:t>历史文化名城，以轻工、精细化工、旅游服务业为主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2" w:hRule="atLeast"/>
          <w:jc w:val="center"/>
        </w:trPr>
        <w:tc>
          <w:tcPr>
            <w:tcW w:w="1385" w:type="dxa"/>
            <w:vMerge w:val="continue"/>
            <w:vAlign w:val="center"/>
          </w:tcPr>
          <w:p>
            <w:pPr>
              <w:pStyle w:val="112"/>
              <w:spacing w:beforeLines="0" w:after="0" w:line="240" w:lineRule="auto"/>
              <w:ind w:left="0" w:leftChars="0"/>
            </w:pPr>
          </w:p>
        </w:tc>
        <w:tc>
          <w:tcPr>
            <w:tcW w:w="1135" w:type="dxa"/>
            <w:shd w:val="clear" w:color="auto" w:fill="auto"/>
            <w:vAlign w:val="center"/>
          </w:tcPr>
          <w:p>
            <w:pPr>
              <w:pStyle w:val="112"/>
              <w:spacing w:beforeLines="0" w:after="0" w:line="240" w:lineRule="auto"/>
              <w:ind w:left="0" w:leftChars="0"/>
            </w:pPr>
            <w:r>
              <w:rPr>
                <w:rFonts w:hint="eastAsia"/>
              </w:rPr>
              <w:t>太谷县城</w:t>
            </w:r>
          </w:p>
        </w:tc>
        <w:tc>
          <w:tcPr>
            <w:tcW w:w="1133" w:type="dxa"/>
          </w:tcPr>
          <w:p>
            <w:pPr>
              <w:pStyle w:val="112"/>
              <w:spacing w:beforeLines="0" w:after="0" w:line="240" w:lineRule="auto"/>
              <w:ind w:left="0" w:leftChars="0"/>
            </w:pPr>
            <w:r>
              <w:rPr>
                <w:rFonts w:hint="eastAsia"/>
              </w:rPr>
              <w:t>综合型</w:t>
            </w:r>
          </w:p>
        </w:tc>
        <w:tc>
          <w:tcPr>
            <w:tcW w:w="4869" w:type="dxa"/>
            <w:shd w:val="clear" w:color="auto" w:fill="auto"/>
            <w:vAlign w:val="center"/>
          </w:tcPr>
          <w:p>
            <w:pPr>
              <w:pStyle w:val="112"/>
              <w:spacing w:beforeLines="0" w:after="0" w:line="240" w:lineRule="auto"/>
              <w:ind w:left="0" w:leftChars="0"/>
            </w:pPr>
            <w:r>
              <w:rPr>
                <w:rFonts w:hint="eastAsia"/>
              </w:rPr>
              <w:t>以农业现代化服务、旅游、轻工、精细化工、医药业为主，发展文教卫生事业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 w:hRule="atLeast"/>
          <w:jc w:val="center"/>
        </w:trPr>
        <w:tc>
          <w:tcPr>
            <w:tcW w:w="1385" w:type="dxa"/>
            <w:vMerge w:val="continue"/>
            <w:vAlign w:val="center"/>
          </w:tcPr>
          <w:p>
            <w:pPr>
              <w:pStyle w:val="112"/>
              <w:spacing w:beforeLines="0" w:after="0" w:line="240" w:lineRule="auto"/>
              <w:ind w:left="0" w:leftChars="0"/>
            </w:pPr>
          </w:p>
        </w:tc>
        <w:tc>
          <w:tcPr>
            <w:tcW w:w="1135" w:type="dxa"/>
            <w:shd w:val="clear" w:color="auto" w:fill="auto"/>
            <w:vAlign w:val="center"/>
          </w:tcPr>
          <w:p>
            <w:pPr>
              <w:pStyle w:val="112"/>
              <w:spacing w:beforeLines="0" w:after="0" w:line="240" w:lineRule="auto"/>
              <w:ind w:left="0" w:leftChars="0"/>
            </w:pPr>
            <w:r>
              <w:rPr>
                <w:rFonts w:hint="eastAsia"/>
              </w:rPr>
              <w:t>灵石县城</w:t>
            </w:r>
          </w:p>
        </w:tc>
        <w:tc>
          <w:tcPr>
            <w:tcW w:w="1133" w:type="dxa"/>
          </w:tcPr>
          <w:p>
            <w:pPr>
              <w:pStyle w:val="112"/>
              <w:spacing w:beforeLines="0" w:after="0" w:line="240" w:lineRule="auto"/>
              <w:ind w:left="0" w:leftChars="0"/>
            </w:pPr>
            <w:r>
              <w:rPr>
                <w:rFonts w:hint="eastAsia"/>
              </w:rPr>
              <w:t>综合型</w:t>
            </w:r>
          </w:p>
        </w:tc>
        <w:tc>
          <w:tcPr>
            <w:tcW w:w="4869" w:type="dxa"/>
            <w:shd w:val="clear" w:color="auto" w:fill="auto"/>
            <w:vAlign w:val="center"/>
          </w:tcPr>
          <w:p>
            <w:pPr>
              <w:pStyle w:val="112"/>
              <w:spacing w:beforeLines="0" w:after="0" w:line="240" w:lineRule="auto"/>
              <w:ind w:left="0" w:leftChars="0"/>
            </w:pPr>
            <w:r>
              <w:rPr>
                <w:rFonts w:hint="eastAsia"/>
              </w:rPr>
              <w:t>以建材、煤化工业、旅游为主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6" w:hRule="atLeast"/>
          <w:jc w:val="center"/>
        </w:trPr>
        <w:tc>
          <w:tcPr>
            <w:tcW w:w="1385" w:type="dxa"/>
            <w:vMerge w:val="continue"/>
            <w:vAlign w:val="center"/>
          </w:tcPr>
          <w:p>
            <w:pPr>
              <w:pStyle w:val="112"/>
              <w:spacing w:beforeLines="0" w:after="0" w:line="240" w:lineRule="auto"/>
              <w:ind w:left="0" w:leftChars="0"/>
            </w:pPr>
          </w:p>
        </w:tc>
        <w:tc>
          <w:tcPr>
            <w:tcW w:w="1135" w:type="dxa"/>
            <w:shd w:val="clear" w:color="auto" w:fill="auto"/>
            <w:vAlign w:val="center"/>
          </w:tcPr>
          <w:p>
            <w:pPr>
              <w:pStyle w:val="112"/>
              <w:spacing w:beforeLines="0" w:after="0" w:line="240" w:lineRule="auto"/>
              <w:ind w:left="0" w:leftChars="0"/>
            </w:pPr>
            <w:r>
              <w:rPr>
                <w:rFonts w:hint="eastAsia"/>
              </w:rPr>
              <w:t>寿阳县城</w:t>
            </w:r>
          </w:p>
        </w:tc>
        <w:tc>
          <w:tcPr>
            <w:tcW w:w="1133" w:type="dxa"/>
          </w:tcPr>
          <w:p>
            <w:pPr>
              <w:pStyle w:val="112"/>
              <w:spacing w:beforeLines="0" w:after="0" w:line="240" w:lineRule="auto"/>
              <w:ind w:left="0" w:leftChars="0"/>
            </w:pPr>
            <w:r>
              <w:rPr>
                <w:rFonts w:hint="eastAsia"/>
              </w:rPr>
              <w:t>综合型</w:t>
            </w:r>
          </w:p>
        </w:tc>
        <w:tc>
          <w:tcPr>
            <w:tcW w:w="4869" w:type="dxa"/>
            <w:shd w:val="clear" w:color="auto" w:fill="auto"/>
            <w:vAlign w:val="center"/>
          </w:tcPr>
          <w:p>
            <w:pPr>
              <w:pStyle w:val="112"/>
              <w:spacing w:beforeLines="0" w:after="0" w:line="240" w:lineRule="auto"/>
              <w:ind w:left="0" w:leftChars="0"/>
            </w:pPr>
            <w:r>
              <w:rPr>
                <w:rFonts w:hint="eastAsia"/>
              </w:rPr>
              <w:t>以煤炭工业、农副产品加工及储运业为主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vAlign w:val="center"/>
          </w:tcPr>
          <w:p>
            <w:pPr>
              <w:pStyle w:val="112"/>
              <w:spacing w:beforeLines="0" w:after="0" w:line="240" w:lineRule="auto"/>
              <w:ind w:left="0" w:leftChars="0"/>
            </w:pPr>
          </w:p>
        </w:tc>
        <w:tc>
          <w:tcPr>
            <w:tcW w:w="1135" w:type="dxa"/>
            <w:shd w:val="clear" w:color="auto" w:fill="auto"/>
            <w:vAlign w:val="center"/>
          </w:tcPr>
          <w:p>
            <w:pPr>
              <w:pStyle w:val="112"/>
              <w:spacing w:beforeLines="0" w:after="0" w:line="240" w:lineRule="auto"/>
              <w:ind w:left="0" w:leftChars="0"/>
            </w:pPr>
            <w:r>
              <w:rPr>
                <w:rFonts w:hint="eastAsia"/>
              </w:rPr>
              <w:t>昔阳县城</w:t>
            </w:r>
          </w:p>
        </w:tc>
        <w:tc>
          <w:tcPr>
            <w:tcW w:w="1133" w:type="dxa"/>
          </w:tcPr>
          <w:p>
            <w:pPr>
              <w:pStyle w:val="112"/>
              <w:spacing w:beforeLines="0" w:after="0" w:line="240" w:lineRule="auto"/>
              <w:ind w:left="0" w:leftChars="0"/>
            </w:pPr>
            <w:r>
              <w:rPr>
                <w:rFonts w:hint="eastAsia"/>
              </w:rPr>
              <w:t>综合型</w:t>
            </w:r>
          </w:p>
        </w:tc>
        <w:tc>
          <w:tcPr>
            <w:tcW w:w="4869" w:type="dxa"/>
            <w:shd w:val="clear" w:color="auto" w:fill="auto"/>
            <w:vAlign w:val="center"/>
          </w:tcPr>
          <w:p>
            <w:pPr>
              <w:pStyle w:val="112"/>
              <w:spacing w:beforeLines="0" w:after="0" w:line="240" w:lineRule="auto"/>
              <w:ind w:left="0" w:leftChars="0"/>
            </w:pPr>
            <w:r>
              <w:rPr>
                <w:rFonts w:hint="eastAsia"/>
              </w:rPr>
              <w:t>以煤炭工业、农副产品加工、建材业为主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4" w:hRule="atLeast"/>
          <w:jc w:val="center"/>
        </w:trPr>
        <w:tc>
          <w:tcPr>
            <w:tcW w:w="1385" w:type="dxa"/>
            <w:vMerge w:val="continue"/>
            <w:vAlign w:val="center"/>
          </w:tcPr>
          <w:p>
            <w:pPr>
              <w:pStyle w:val="112"/>
              <w:spacing w:beforeLines="0" w:after="0" w:line="240" w:lineRule="auto"/>
              <w:ind w:left="0" w:leftChars="0"/>
            </w:pPr>
          </w:p>
        </w:tc>
        <w:tc>
          <w:tcPr>
            <w:tcW w:w="1135" w:type="dxa"/>
            <w:shd w:val="clear" w:color="auto" w:fill="auto"/>
            <w:vAlign w:val="center"/>
          </w:tcPr>
          <w:p>
            <w:pPr>
              <w:pStyle w:val="112"/>
              <w:spacing w:beforeLines="0" w:after="0" w:line="240" w:lineRule="auto"/>
              <w:ind w:left="0" w:leftChars="0"/>
            </w:pPr>
            <w:r>
              <w:rPr>
                <w:rFonts w:hint="eastAsia"/>
              </w:rPr>
              <w:t>和顺县城</w:t>
            </w:r>
          </w:p>
        </w:tc>
        <w:tc>
          <w:tcPr>
            <w:tcW w:w="1133" w:type="dxa"/>
          </w:tcPr>
          <w:p>
            <w:pPr>
              <w:pStyle w:val="112"/>
              <w:spacing w:beforeLines="0" w:after="0" w:line="240" w:lineRule="auto"/>
              <w:ind w:left="0" w:leftChars="0"/>
            </w:pPr>
            <w:r>
              <w:rPr>
                <w:rFonts w:hint="eastAsia"/>
              </w:rPr>
              <w:t>综合型</w:t>
            </w:r>
          </w:p>
        </w:tc>
        <w:tc>
          <w:tcPr>
            <w:tcW w:w="4869" w:type="dxa"/>
            <w:shd w:val="clear" w:color="auto" w:fill="auto"/>
            <w:vAlign w:val="center"/>
          </w:tcPr>
          <w:p>
            <w:pPr>
              <w:pStyle w:val="112"/>
              <w:spacing w:beforeLines="0" w:after="0" w:line="240" w:lineRule="auto"/>
              <w:ind w:left="0" w:leftChars="0"/>
            </w:pPr>
            <w:r>
              <w:rPr>
                <w:rFonts w:hint="eastAsia"/>
              </w:rPr>
              <w:t>以煤炭、化工、建材、食品工业为主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8" w:hRule="atLeast"/>
          <w:jc w:val="center"/>
        </w:trPr>
        <w:tc>
          <w:tcPr>
            <w:tcW w:w="1385" w:type="dxa"/>
            <w:vMerge w:val="continue"/>
            <w:vAlign w:val="center"/>
          </w:tcPr>
          <w:p>
            <w:pPr>
              <w:pStyle w:val="112"/>
              <w:spacing w:beforeLines="0" w:after="0" w:line="240" w:lineRule="auto"/>
              <w:ind w:left="0" w:leftChars="0"/>
            </w:pPr>
          </w:p>
        </w:tc>
        <w:tc>
          <w:tcPr>
            <w:tcW w:w="1135" w:type="dxa"/>
            <w:shd w:val="clear" w:color="auto" w:fill="auto"/>
            <w:vAlign w:val="center"/>
          </w:tcPr>
          <w:p>
            <w:pPr>
              <w:pStyle w:val="112"/>
              <w:spacing w:beforeLines="0" w:after="0" w:line="240" w:lineRule="auto"/>
              <w:ind w:left="0" w:leftChars="0"/>
            </w:pPr>
            <w:r>
              <w:rPr>
                <w:rFonts w:hint="eastAsia"/>
              </w:rPr>
              <w:t>左权县城</w:t>
            </w:r>
          </w:p>
        </w:tc>
        <w:tc>
          <w:tcPr>
            <w:tcW w:w="1133" w:type="dxa"/>
          </w:tcPr>
          <w:p>
            <w:pPr>
              <w:pStyle w:val="112"/>
              <w:spacing w:beforeLines="0" w:after="0" w:line="240" w:lineRule="auto"/>
              <w:ind w:left="0" w:leftChars="0"/>
            </w:pPr>
            <w:r>
              <w:rPr>
                <w:rFonts w:hint="eastAsia"/>
              </w:rPr>
              <w:t>综合型</w:t>
            </w:r>
          </w:p>
        </w:tc>
        <w:tc>
          <w:tcPr>
            <w:tcW w:w="4869" w:type="dxa"/>
            <w:shd w:val="clear" w:color="auto" w:fill="auto"/>
            <w:vAlign w:val="center"/>
          </w:tcPr>
          <w:p>
            <w:pPr>
              <w:pStyle w:val="112"/>
              <w:spacing w:beforeLines="0" w:after="0" w:line="240" w:lineRule="auto"/>
              <w:ind w:left="0" w:leftChars="0"/>
            </w:pPr>
            <w:r>
              <w:rPr>
                <w:rFonts w:hint="eastAsia"/>
              </w:rPr>
              <w:t>以建材、农副产品加工业为主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vAlign w:val="center"/>
          </w:tcPr>
          <w:p>
            <w:pPr>
              <w:pStyle w:val="112"/>
              <w:spacing w:beforeLines="0" w:after="0" w:line="240" w:lineRule="auto"/>
              <w:ind w:left="0" w:leftChars="0"/>
            </w:pPr>
          </w:p>
        </w:tc>
        <w:tc>
          <w:tcPr>
            <w:tcW w:w="1135" w:type="dxa"/>
            <w:shd w:val="clear" w:color="auto" w:fill="auto"/>
            <w:vAlign w:val="center"/>
          </w:tcPr>
          <w:p>
            <w:pPr>
              <w:pStyle w:val="112"/>
              <w:spacing w:beforeLines="0" w:after="0" w:line="240" w:lineRule="auto"/>
              <w:ind w:left="0" w:leftChars="0"/>
            </w:pPr>
            <w:r>
              <w:rPr>
                <w:rFonts w:hint="eastAsia"/>
              </w:rPr>
              <w:t>榆社县城</w:t>
            </w:r>
          </w:p>
        </w:tc>
        <w:tc>
          <w:tcPr>
            <w:tcW w:w="1133" w:type="dxa"/>
          </w:tcPr>
          <w:p>
            <w:pPr>
              <w:pStyle w:val="112"/>
              <w:spacing w:beforeLines="0" w:after="0" w:line="240" w:lineRule="auto"/>
              <w:ind w:left="0" w:leftChars="0"/>
            </w:pPr>
            <w:r>
              <w:rPr>
                <w:rFonts w:hint="eastAsia"/>
              </w:rPr>
              <w:t>综合型</w:t>
            </w:r>
          </w:p>
        </w:tc>
        <w:tc>
          <w:tcPr>
            <w:tcW w:w="4869" w:type="dxa"/>
            <w:shd w:val="clear" w:color="auto" w:fill="auto"/>
            <w:vAlign w:val="center"/>
          </w:tcPr>
          <w:p>
            <w:pPr>
              <w:pStyle w:val="112"/>
              <w:spacing w:beforeLines="0" w:after="0" w:line="240" w:lineRule="auto"/>
              <w:ind w:left="0" w:leftChars="0"/>
            </w:pPr>
            <w:r>
              <w:rPr>
                <w:rFonts w:hint="eastAsia"/>
              </w:rPr>
              <w:t>以医药、化工业、电力为主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restart"/>
            <w:vAlign w:val="center"/>
          </w:tcPr>
          <w:p>
            <w:pPr>
              <w:pStyle w:val="112"/>
              <w:spacing w:beforeLines="0" w:after="0" w:line="240" w:lineRule="auto"/>
              <w:ind w:left="0" w:leftChars="0"/>
            </w:pPr>
            <w:r>
              <w:rPr>
                <w:rFonts w:hint="eastAsia"/>
              </w:rPr>
              <w:t>重点镇</w:t>
            </w:r>
          </w:p>
        </w:tc>
        <w:tc>
          <w:tcPr>
            <w:tcW w:w="1135" w:type="dxa"/>
            <w:shd w:val="clear" w:color="auto" w:fill="auto"/>
          </w:tcPr>
          <w:p>
            <w:pPr>
              <w:pStyle w:val="112"/>
              <w:spacing w:beforeLines="0" w:after="0" w:line="240" w:lineRule="auto"/>
              <w:ind w:left="0" w:leftChars="0"/>
            </w:pPr>
            <w:r>
              <w:rPr>
                <w:rFonts w:hint="eastAsia"/>
              </w:rPr>
              <w:t>东阳镇</w:t>
            </w:r>
          </w:p>
        </w:tc>
        <w:tc>
          <w:tcPr>
            <w:tcW w:w="1133" w:type="dxa"/>
          </w:tcPr>
          <w:p>
            <w:pPr>
              <w:pStyle w:val="112"/>
              <w:spacing w:beforeLines="0" w:after="0" w:line="240" w:lineRule="auto"/>
              <w:ind w:left="0" w:leftChars="0"/>
            </w:pPr>
            <w:r>
              <w:rPr>
                <w:rFonts w:hint="eastAsia"/>
              </w:rPr>
              <w:t>工贸型</w:t>
            </w:r>
          </w:p>
        </w:tc>
        <w:tc>
          <w:tcPr>
            <w:tcW w:w="4869" w:type="dxa"/>
            <w:shd w:val="clear" w:color="auto" w:fill="auto"/>
          </w:tcPr>
          <w:p>
            <w:pPr>
              <w:pStyle w:val="112"/>
              <w:spacing w:beforeLines="0" w:after="0" w:line="240" w:lineRule="auto"/>
              <w:ind w:left="0" w:leftChars="0"/>
            </w:pPr>
            <w:r>
              <w:rPr>
                <w:rFonts w:hint="eastAsia"/>
              </w:rPr>
              <w:t>以工业、旅游服务业为支柱的工贸型城镇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pPr>
          </w:p>
        </w:tc>
        <w:tc>
          <w:tcPr>
            <w:tcW w:w="1135" w:type="dxa"/>
            <w:shd w:val="clear" w:color="auto" w:fill="auto"/>
          </w:tcPr>
          <w:p>
            <w:pPr>
              <w:pStyle w:val="112"/>
              <w:spacing w:beforeLines="0" w:after="0" w:line="240" w:lineRule="auto"/>
              <w:ind w:left="0" w:leftChars="0"/>
            </w:pPr>
            <w:r>
              <w:rPr>
                <w:rFonts w:hint="eastAsia"/>
              </w:rPr>
              <w:t>北田镇</w:t>
            </w:r>
          </w:p>
        </w:tc>
        <w:tc>
          <w:tcPr>
            <w:tcW w:w="1133" w:type="dxa"/>
          </w:tcPr>
          <w:p>
            <w:pPr>
              <w:pStyle w:val="112"/>
              <w:spacing w:beforeLines="0" w:after="0" w:line="240" w:lineRule="auto"/>
              <w:ind w:left="0" w:leftChars="0"/>
            </w:pPr>
            <w:r>
              <w:rPr>
                <w:rFonts w:hint="eastAsia"/>
              </w:rPr>
              <w:t>农贸型</w:t>
            </w:r>
          </w:p>
        </w:tc>
        <w:tc>
          <w:tcPr>
            <w:tcW w:w="4869" w:type="dxa"/>
            <w:shd w:val="clear" w:color="auto" w:fill="auto"/>
          </w:tcPr>
          <w:p>
            <w:pPr>
              <w:pStyle w:val="112"/>
              <w:spacing w:beforeLines="0" w:after="0" w:line="240" w:lineRule="auto"/>
              <w:ind w:left="0" w:leftChars="0"/>
            </w:pPr>
            <w:r>
              <w:rPr>
                <w:rFonts w:hint="eastAsia"/>
              </w:rPr>
              <w:t>以现代农业为主的农贸型城镇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pPr>
          </w:p>
        </w:tc>
        <w:tc>
          <w:tcPr>
            <w:tcW w:w="1135" w:type="dxa"/>
            <w:shd w:val="clear" w:color="auto" w:fill="auto"/>
          </w:tcPr>
          <w:p>
            <w:pPr>
              <w:pStyle w:val="112"/>
              <w:spacing w:beforeLines="0" w:after="0" w:line="240" w:lineRule="auto"/>
              <w:ind w:left="0" w:leftChars="0"/>
            </w:pPr>
            <w:r>
              <w:rPr>
                <w:rFonts w:hint="eastAsia"/>
              </w:rPr>
              <w:t>宗艾镇</w:t>
            </w:r>
          </w:p>
        </w:tc>
        <w:tc>
          <w:tcPr>
            <w:tcW w:w="1133" w:type="dxa"/>
          </w:tcPr>
          <w:p>
            <w:pPr>
              <w:pStyle w:val="112"/>
              <w:spacing w:beforeLines="0" w:after="0" w:line="240" w:lineRule="auto"/>
              <w:ind w:left="0" w:leftChars="0"/>
            </w:pPr>
            <w:r>
              <w:rPr>
                <w:rFonts w:hint="eastAsia"/>
              </w:rPr>
              <w:t>农贸型</w:t>
            </w:r>
          </w:p>
        </w:tc>
        <w:tc>
          <w:tcPr>
            <w:tcW w:w="4869" w:type="dxa"/>
            <w:shd w:val="clear" w:color="auto" w:fill="auto"/>
          </w:tcPr>
          <w:p>
            <w:pPr>
              <w:pStyle w:val="112"/>
              <w:spacing w:beforeLines="0" w:after="0" w:line="240" w:lineRule="auto"/>
              <w:ind w:left="0" w:leftChars="0"/>
            </w:pPr>
            <w:r>
              <w:rPr>
                <w:rFonts w:hint="eastAsia"/>
              </w:rPr>
              <w:t>以商贸、现代农业为主的农贸型城镇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pPr>
          </w:p>
        </w:tc>
        <w:tc>
          <w:tcPr>
            <w:tcW w:w="1135" w:type="dxa"/>
            <w:shd w:val="clear" w:color="auto" w:fill="auto"/>
          </w:tcPr>
          <w:p>
            <w:pPr>
              <w:pStyle w:val="112"/>
              <w:spacing w:beforeLines="0" w:after="0" w:line="240" w:lineRule="auto"/>
              <w:ind w:left="0" w:leftChars="0"/>
            </w:pPr>
            <w:r>
              <w:rPr>
                <w:rFonts w:hint="eastAsia"/>
              </w:rPr>
              <w:t>平头镇</w:t>
            </w:r>
          </w:p>
        </w:tc>
        <w:tc>
          <w:tcPr>
            <w:tcW w:w="1133" w:type="dxa"/>
          </w:tcPr>
          <w:p>
            <w:pPr>
              <w:pStyle w:val="112"/>
              <w:spacing w:beforeLines="0" w:after="0" w:line="240" w:lineRule="auto"/>
              <w:ind w:left="0" w:leftChars="0"/>
            </w:pPr>
            <w:r>
              <w:rPr>
                <w:rFonts w:hint="eastAsia"/>
              </w:rPr>
              <w:t>工贸型</w:t>
            </w:r>
          </w:p>
        </w:tc>
        <w:tc>
          <w:tcPr>
            <w:tcW w:w="4869" w:type="dxa"/>
            <w:shd w:val="clear" w:color="auto" w:fill="auto"/>
          </w:tcPr>
          <w:p>
            <w:pPr>
              <w:pStyle w:val="112"/>
              <w:spacing w:beforeLines="0" w:after="0" w:line="240" w:lineRule="auto"/>
              <w:ind w:left="0" w:leftChars="0"/>
            </w:pPr>
            <w:r>
              <w:rPr>
                <w:rFonts w:hint="eastAsia"/>
              </w:rPr>
              <w:t>以煤炭加工和农副食品加工为主的工贸型城镇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pPr>
          </w:p>
        </w:tc>
        <w:tc>
          <w:tcPr>
            <w:tcW w:w="1135" w:type="dxa"/>
            <w:shd w:val="clear" w:color="auto" w:fill="auto"/>
          </w:tcPr>
          <w:p>
            <w:pPr>
              <w:pStyle w:val="112"/>
              <w:spacing w:beforeLines="0" w:after="0" w:line="240" w:lineRule="auto"/>
              <w:ind w:left="0" w:leftChars="0"/>
            </w:pPr>
            <w:r>
              <w:rPr>
                <w:rFonts w:hint="eastAsia"/>
              </w:rPr>
              <w:t>大寨镇</w:t>
            </w:r>
          </w:p>
        </w:tc>
        <w:tc>
          <w:tcPr>
            <w:tcW w:w="1133" w:type="dxa"/>
          </w:tcPr>
          <w:p>
            <w:pPr>
              <w:pStyle w:val="112"/>
              <w:spacing w:beforeLines="0" w:after="0" w:line="240" w:lineRule="auto"/>
              <w:ind w:left="0" w:leftChars="0"/>
            </w:pPr>
            <w:r>
              <w:rPr>
                <w:rFonts w:hint="eastAsia"/>
              </w:rPr>
              <w:t>农贸型</w:t>
            </w:r>
          </w:p>
        </w:tc>
        <w:tc>
          <w:tcPr>
            <w:tcW w:w="4869" w:type="dxa"/>
            <w:shd w:val="clear" w:color="auto" w:fill="auto"/>
          </w:tcPr>
          <w:p>
            <w:pPr>
              <w:pStyle w:val="112"/>
              <w:spacing w:beforeLines="0" w:after="0" w:line="240" w:lineRule="auto"/>
              <w:ind w:left="0" w:leftChars="0"/>
            </w:pPr>
            <w:r>
              <w:rPr>
                <w:rFonts w:hint="eastAsia"/>
              </w:rPr>
              <w:t>以农副产品加工、旅游、商贸为主的农贸型城镇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pPr>
          </w:p>
        </w:tc>
        <w:tc>
          <w:tcPr>
            <w:tcW w:w="1135" w:type="dxa"/>
            <w:shd w:val="clear" w:color="auto" w:fill="auto"/>
          </w:tcPr>
          <w:p>
            <w:pPr>
              <w:pStyle w:val="112"/>
              <w:spacing w:beforeLines="0" w:after="0" w:line="240" w:lineRule="auto"/>
              <w:ind w:left="0" w:leftChars="0"/>
            </w:pPr>
            <w:r>
              <w:rPr>
                <w:rFonts w:hint="eastAsia"/>
              </w:rPr>
              <w:t>李阳镇</w:t>
            </w:r>
          </w:p>
        </w:tc>
        <w:tc>
          <w:tcPr>
            <w:tcW w:w="1133" w:type="dxa"/>
          </w:tcPr>
          <w:p>
            <w:pPr>
              <w:pStyle w:val="112"/>
              <w:spacing w:beforeLines="0" w:after="0" w:line="240" w:lineRule="auto"/>
              <w:ind w:left="0" w:leftChars="0"/>
            </w:pPr>
            <w:r>
              <w:rPr>
                <w:rFonts w:hint="eastAsia"/>
              </w:rPr>
              <w:t>工贸型</w:t>
            </w:r>
          </w:p>
        </w:tc>
        <w:tc>
          <w:tcPr>
            <w:tcW w:w="4869" w:type="dxa"/>
            <w:shd w:val="clear" w:color="auto" w:fill="auto"/>
          </w:tcPr>
          <w:p>
            <w:pPr>
              <w:pStyle w:val="112"/>
              <w:spacing w:beforeLines="0" w:after="0" w:line="240" w:lineRule="auto"/>
              <w:ind w:left="0" w:leftChars="0"/>
            </w:pPr>
            <w:r>
              <w:rPr>
                <w:rFonts w:hint="eastAsia"/>
              </w:rPr>
              <w:t>以煤炭加工为主的工贸型城镇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pPr>
          </w:p>
        </w:tc>
        <w:tc>
          <w:tcPr>
            <w:tcW w:w="1135" w:type="dxa"/>
            <w:shd w:val="clear" w:color="auto" w:fill="auto"/>
          </w:tcPr>
          <w:p>
            <w:pPr>
              <w:pStyle w:val="112"/>
              <w:spacing w:beforeLines="0" w:after="0" w:line="240" w:lineRule="auto"/>
              <w:ind w:left="0" w:leftChars="0"/>
            </w:pPr>
            <w:r>
              <w:rPr>
                <w:rFonts w:hint="eastAsia"/>
              </w:rPr>
              <w:t>麻田镇</w:t>
            </w:r>
          </w:p>
        </w:tc>
        <w:tc>
          <w:tcPr>
            <w:tcW w:w="1133" w:type="dxa"/>
          </w:tcPr>
          <w:p>
            <w:pPr>
              <w:pStyle w:val="112"/>
              <w:spacing w:beforeLines="0" w:after="0" w:line="240" w:lineRule="auto"/>
              <w:ind w:left="0" w:leftChars="0"/>
            </w:pPr>
            <w:r>
              <w:rPr>
                <w:rFonts w:hint="eastAsia"/>
              </w:rPr>
              <w:t>旅游型</w:t>
            </w:r>
          </w:p>
        </w:tc>
        <w:tc>
          <w:tcPr>
            <w:tcW w:w="4869" w:type="dxa"/>
            <w:shd w:val="clear" w:color="auto" w:fill="auto"/>
          </w:tcPr>
          <w:p>
            <w:pPr>
              <w:pStyle w:val="112"/>
              <w:spacing w:beforeLines="0" w:after="0" w:line="240" w:lineRule="auto"/>
              <w:ind w:left="0" w:leftChars="0"/>
            </w:pPr>
            <w:r>
              <w:rPr>
                <w:rFonts w:hint="eastAsia"/>
              </w:rPr>
              <w:t>以商贸、旅游服务为主的商贸旅游型城镇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pPr>
          </w:p>
        </w:tc>
        <w:tc>
          <w:tcPr>
            <w:tcW w:w="1135" w:type="dxa"/>
            <w:shd w:val="clear" w:color="auto" w:fill="auto"/>
          </w:tcPr>
          <w:p>
            <w:pPr>
              <w:pStyle w:val="112"/>
              <w:spacing w:beforeLines="0" w:after="0" w:line="240" w:lineRule="auto"/>
              <w:ind w:left="0" w:leftChars="0"/>
            </w:pPr>
            <w:r>
              <w:rPr>
                <w:rFonts w:hint="eastAsia"/>
              </w:rPr>
              <w:t>云竹镇</w:t>
            </w:r>
          </w:p>
        </w:tc>
        <w:tc>
          <w:tcPr>
            <w:tcW w:w="1133" w:type="dxa"/>
          </w:tcPr>
          <w:p>
            <w:pPr>
              <w:pStyle w:val="112"/>
              <w:spacing w:beforeLines="0" w:after="0" w:line="240" w:lineRule="auto"/>
              <w:ind w:left="0" w:leftChars="0"/>
            </w:pPr>
            <w:r>
              <w:rPr>
                <w:rFonts w:hint="eastAsia"/>
              </w:rPr>
              <w:t>旅游型</w:t>
            </w:r>
          </w:p>
        </w:tc>
        <w:tc>
          <w:tcPr>
            <w:tcW w:w="4869" w:type="dxa"/>
            <w:shd w:val="clear" w:color="auto" w:fill="auto"/>
          </w:tcPr>
          <w:p>
            <w:pPr>
              <w:pStyle w:val="112"/>
              <w:spacing w:beforeLines="0" w:after="0" w:line="240" w:lineRule="auto"/>
              <w:ind w:left="0" w:leftChars="0"/>
            </w:pPr>
            <w:r>
              <w:rPr>
                <w:rFonts w:hint="eastAsia"/>
              </w:rPr>
              <w:t>以旅游、农副产品加工为主的商贸旅游型城镇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pPr>
          </w:p>
        </w:tc>
        <w:tc>
          <w:tcPr>
            <w:tcW w:w="1135" w:type="dxa"/>
            <w:shd w:val="clear" w:color="auto" w:fill="auto"/>
          </w:tcPr>
          <w:p>
            <w:pPr>
              <w:pStyle w:val="112"/>
              <w:spacing w:beforeLines="0" w:after="0" w:line="240" w:lineRule="auto"/>
              <w:ind w:left="0" w:leftChars="0"/>
            </w:pPr>
            <w:r>
              <w:rPr>
                <w:rFonts w:hint="eastAsia"/>
              </w:rPr>
              <w:t>两渡镇</w:t>
            </w:r>
          </w:p>
        </w:tc>
        <w:tc>
          <w:tcPr>
            <w:tcW w:w="1133" w:type="dxa"/>
          </w:tcPr>
          <w:p>
            <w:pPr>
              <w:pStyle w:val="112"/>
              <w:spacing w:beforeLines="0" w:after="0" w:line="240" w:lineRule="auto"/>
              <w:ind w:left="0" w:leftChars="0"/>
            </w:pPr>
            <w:r>
              <w:rPr>
                <w:rFonts w:hint="eastAsia"/>
              </w:rPr>
              <w:t>工贸型</w:t>
            </w:r>
          </w:p>
        </w:tc>
        <w:tc>
          <w:tcPr>
            <w:tcW w:w="4869" w:type="dxa"/>
            <w:shd w:val="clear" w:color="auto" w:fill="auto"/>
          </w:tcPr>
          <w:p>
            <w:pPr>
              <w:pStyle w:val="112"/>
              <w:spacing w:beforeLines="0" w:after="0" w:line="240" w:lineRule="auto"/>
              <w:ind w:left="0" w:leftChars="0"/>
            </w:pPr>
            <w:r>
              <w:rPr>
                <w:rFonts w:hint="eastAsia"/>
              </w:rPr>
              <w:t>以煤焦化工、电力等为主的工贸型城镇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pPr>
          </w:p>
        </w:tc>
        <w:tc>
          <w:tcPr>
            <w:tcW w:w="1135" w:type="dxa"/>
            <w:shd w:val="clear" w:color="auto" w:fill="auto"/>
          </w:tcPr>
          <w:p>
            <w:pPr>
              <w:pStyle w:val="112"/>
              <w:spacing w:beforeLines="0" w:after="0" w:line="240" w:lineRule="auto"/>
              <w:ind w:left="0" w:leftChars="0"/>
            </w:pPr>
            <w:r>
              <w:rPr>
                <w:rFonts w:hint="eastAsia"/>
              </w:rPr>
              <w:t>南关镇</w:t>
            </w:r>
          </w:p>
        </w:tc>
        <w:tc>
          <w:tcPr>
            <w:tcW w:w="1133" w:type="dxa"/>
          </w:tcPr>
          <w:p>
            <w:pPr>
              <w:pStyle w:val="112"/>
              <w:spacing w:beforeLines="0" w:after="0" w:line="240" w:lineRule="auto"/>
              <w:ind w:left="0" w:leftChars="0"/>
            </w:pPr>
            <w:r>
              <w:rPr>
                <w:rFonts w:hint="eastAsia"/>
              </w:rPr>
              <w:t>工贸型</w:t>
            </w:r>
          </w:p>
        </w:tc>
        <w:tc>
          <w:tcPr>
            <w:tcW w:w="4869" w:type="dxa"/>
            <w:shd w:val="clear" w:color="auto" w:fill="auto"/>
          </w:tcPr>
          <w:p>
            <w:pPr>
              <w:pStyle w:val="112"/>
              <w:spacing w:beforeLines="0" w:after="0" w:line="240" w:lineRule="auto"/>
              <w:ind w:left="0" w:leftChars="0"/>
            </w:pPr>
            <w:r>
              <w:rPr>
                <w:rFonts w:hint="eastAsia"/>
              </w:rPr>
              <w:t>以商贸、煤化工工业、生态旅游等为主的工贸型城镇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pPr>
          </w:p>
        </w:tc>
        <w:tc>
          <w:tcPr>
            <w:tcW w:w="1135" w:type="dxa"/>
            <w:shd w:val="clear" w:color="auto" w:fill="auto"/>
          </w:tcPr>
          <w:p>
            <w:pPr>
              <w:pStyle w:val="112"/>
              <w:spacing w:beforeLines="0" w:after="0" w:line="240" w:lineRule="auto"/>
              <w:ind w:left="0" w:leftChars="0"/>
            </w:pPr>
            <w:r>
              <w:rPr>
                <w:rFonts w:hint="eastAsia"/>
              </w:rPr>
              <w:t>胡村镇</w:t>
            </w:r>
          </w:p>
        </w:tc>
        <w:tc>
          <w:tcPr>
            <w:tcW w:w="1133" w:type="dxa"/>
          </w:tcPr>
          <w:p>
            <w:pPr>
              <w:pStyle w:val="112"/>
              <w:spacing w:beforeLines="0" w:after="0" w:line="240" w:lineRule="auto"/>
              <w:ind w:left="0" w:leftChars="0"/>
            </w:pPr>
            <w:r>
              <w:rPr>
                <w:rFonts w:hint="eastAsia"/>
              </w:rPr>
              <w:t>工贸型</w:t>
            </w:r>
          </w:p>
        </w:tc>
        <w:tc>
          <w:tcPr>
            <w:tcW w:w="4869" w:type="dxa"/>
            <w:shd w:val="clear" w:color="auto" w:fill="auto"/>
          </w:tcPr>
          <w:p>
            <w:pPr>
              <w:pStyle w:val="112"/>
              <w:spacing w:beforeLines="0" w:after="0" w:line="240" w:lineRule="auto"/>
              <w:ind w:left="0" w:leftChars="0"/>
            </w:pPr>
            <w:r>
              <w:rPr>
                <w:rFonts w:hint="eastAsia"/>
              </w:rPr>
              <w:t>以玛钢工业为主导的工贸型城镇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pPr>
          </w:p>
        </w:tc>
        <w:tc>
          <w:tcPr>
            <w:tcW w:w="1135" w:type="dxa"/>
            <w:shd w:val="clear" w:color="auto" w:fill="auto"/>
          </w:tcPr>
          <w:p>
            <w:pPr>
              <w:pStyle w:val="112"/>
              <w:spacing w:beforeLines="0" w:after="0" w:line="240" w:lineRule="auto"/>
              <w:ind w:left="0" w:leftChars="0"/>
            </w:pPr>
            <w:r>
              <w:rPr>
                <w:rFonts w:hint="eastAsia"/>
              </w:rPr>
              <w:t>水秀镇</w:t>
            </w:r>
          </w:p>
        </w:tc>
        <w:tc>
          <w:tcPr>
            <w:tcW w:w="1133" w:type="dxa"/>
          </w:tcPr>
          <w:p>
            <w:pPr>
              <w:pStyle w:val="112"/>
              <w:spacing w:beforeLines="0" w:after="0" w:line="240" w:lineRule="auto"/>
              <w:ind w:left="0" w:leftChars="0"/>
            </w:pPr>
            <w:r>
              <w:rPr>
                <w:rFonts w:hint="eastAsia"/>
              </w:rPr>
              <w:t>工贸型</w:t>
            </w:r>
          </w:p>
        </w:tc>
        <w:tc>
          <w:tcPr>
            <w:tcW w:w="4869" w:type="dxa"/>
            <w:shd w:val="clear" w:color="auto" w:fill="auto"/>
          </w:tcPr>
          <w:p>
            <w:pPr>
              <w:pStyle w:val="112"/>
              <w:spacing w:beforeLines="0" w:after="0" w:line="240" w:lineRule="auto"/>
              <w:ind w:left="0" w:leftChars="0"/>
            </w:pPr>
            <w:r>
              <w:rPr>
                <w:rFonts w:hint="eastAsia"/>
              </w:rPr>
              <w:t>以商贸物流、加工制造为主的工贸型城镇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pPr>
          </w:p>
        </w:tc>
        <w:tc>
          <w:tcPr>
            <w:tcW w:w="1135" w:type="dxa"/>
            <w:shd w:val="clear" w:color="auto" w:fill="auto"/>
          </w:tcPr>
          <w:p>
            <w:pPr>
              <w:pStyle w:val="112"/>
              <w:spacing w:beforeLines="0" w:after="0" w:line="240" w:lineRule="auto"/>
              <w:ind w:left="0" w:leftChars="0"/>
            </w:pPr>
            <w:r>
              <w:rPr>
                <w:rFonts w:hint="eastAsia"/>
              </w:rPr>
              <w:t>东观镇</w:t>
            </w:r>
          </w:p>
        </w:tc>
        <w:tc>
          <w:tcPr>
            <w:tcW w:w="1133" w:type="dxa"/>
          </w:tcPr>
          <w:p>
            <w:pPr>
              <w:pStyle w:val="112"/>
              <w:spacing w:beforeLines="0" w:after="0" w:line="240" w:lineRule="auto"/>
              <w:ind w:left="0" w:leftChars="0"/>
            </w:pPr>
            <w:r>
              <w:rPr>
                <w:rFonts w:hint="eastAsia"/>
              </w:rPr>
              <w:t>农贸型</w:t>
            </w:r>
          </w:p>
        </w:tc>
        <w:tc>
          <w:tcPr>
            <w:tcW w:w="4869" w:type="dxa"/>
            <w:shd w:val="clear" w:color="auto" w:fill="auto"/>
          </w:tcPr>
          <w:p>
            <w:pPr>
              <w:pStyle w:val="112"/>
              <w:spacing w:beforeLines="0" w:after="0" w:line="240" w:lineRule="auto"/>
              <w:ind w:left="0" w:leftChars="0"/>
            </w:pPr>
            <w:r>
              <w:rPr>
                <w:rFonts w:hint="eastAsia"/>
              </w:rPr>
              <w:t>以旅游服务、现代农业、商贸为主的农贸型城镇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pPr>
          </w:p>
        </w:tc>
        <w:tc>
          <w:tcPr>
            <w:tcW w:w="1135" w:type="dxa"/>
            <w:shd w:val="clear" w:color="auto" w:fill="auto"/>
          </w:tcPr>
          <w:p>
            <w:pPr>
              <w:pStyle w:val="112"/>
              <w:spacing w:beforeLines="0" w:after="0" w:line="240" w:lineRule="auto"/>
              <w:ind w:left="0" w:leftChars="0"/>
            </w:pPr>
            <w:r>
              <w:rPr>
                <w:rFonts w:hint="eastAsia"/>
              </w:rPr>
              <w:t>贾令镇</w:t>
            </w:r>
          </w:p>
        </w:tc>
        <w:tc>
          <w:tcPr>
            <w:tcW w:w="1133" w:type="dxa"/>
          </w:tcPr>
          <w:p>
            <w:pPr>
              <w:pStyle w:val="112"/>
              <w:spacing w:beforeLines="0" w:after="0" w:line="240" w:lineRule="auto"/>
              <w:ind w:left="0" w:leftChars="0"/>
            </w:pPr>
            <w:r>
              <w:rPr>
                <w:rFonts w:hint="eastAsia"/>
              </w:rPr>
              <w:t>农贸型</w:t>
            </w:r>
          </w:p>
        </w:tc>
        <w:tc>
          <w:tcPr>
            <w:tcW w:w="4869" w:type="dxa"/>
            <w:shd w:val="clear" w:color="auto" w:fill="auto"/>
          </w:tcPr>
          <w:p>
            <w:pPr>
              <w:pStyle w:val="112"/>
              <w:spacing w:beforeLines="0" w:after="0" w:line="240" w:lineRule="auto"/>
              <w:ind w:left="0" w:leftChars="0"/>
            </w:pPr>
            <w:r>
              <w:rPr>
                <w:rFonts w:hint="eastAsia"/>
              </w:rPr>
              <w:t>以农副产品加工交易、旅游业、商贸为主的农贸型城镇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jc w:val="center"/>
            </w:pPr>
          </w:p>
        </w:tc>
        <w:tc>
          <w:tcPr>
            <w:tcW w:w="1135" w:type="dxa"/>
            <w:shd w:val="clear" w:color="auto" w:fill="auto"/>
          </w:tcPr>
          <w:p>
            <w:pPr>
              <w:pStyle w:val="112"/>
              <w:spacing w:beforeLines="0" w:after="0" w:line="240" w:lineRule="auto"/>
              <w:ind w:left="0" w:leftChars="0"/>
            </w:pPr>
            <w:r>
              <w:rPr>
                <w:rFonts w:hint="eastAsia"/>
              </w:rPr>
              <w:t>义安镇</w:t>
            </w:r>
          </w:p>
        </w:tc>
        <w:tc>
          <w:tcPr>
            <w:tcW w:w="1133" w:type="dxa"/>
          </w:tcPr>
          <w:p>
            <w:pPr>
              <w:pStyle w:val="112"/>
              <w:spacing w:beforeLines="0" w:after="0" w:line="240" w:lineRule="auto"/>
              <w:ind w:left="0" w:leftChars="0"/>
            </w:pPr>
            <w:r>
              <w:rPr>
                <w:rFonts w:hint="eastAsia"/>
              </w:rPr>
              <w:t>工贸型</w:t>
            </w:r>
          </w:p>
        </w:tc>
        <w:tc>
          <w:tcPr>
            <w:tcW w:w="4869" w:type="dxa"/>
            <w:shd w:val="clear" w:color="auto" w:fill="auto"/>
          </w:tcPr>
          <w:p>
            <w:pPr>
              <w:pStyle w:val="112"/>
              <w:spacing w:beforeLines="0" w:after="0" w:line="240" w:lineRule="auto"/>
              <w:ind w:left="0" w:leftChars="0"/>
            </w:pPr>
            <w:r>
              <w:rPr>
                <w:rFonts w:hint="eastAsia"/>
              </w:rPr>
              <w:t>以煤焦化工、现代农业为主的工贸型城镇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jc w:val="center"/>
            </w:pPr>
          </w:p>
        </w:tc>
        <w:tc>
          <w:tcPr>
            <w:tcW w:w="1135" w:type="dxa"/>
            <w:shd w:val="clear" w:color="auto" w:fill="auto"/>
          </w:tcPr>
          <w:p>
            <w:pPr>
              <w:pStyle w:val="112"/>
              <w:spacing w:beforeLines="0" w:after="0" w:line="240" w:lineRule="auto"/>
              <w:ind w:left="0" w:leftChars="0"/>
            </w:pPr>
            <w:r>
              <w:rPr>
                <w:rFonts w:hint="eastAsia"/>
              </w:rPr>
              <w:t>张兰镇</w:t>
            </w:r>
          </w:p>
        </w:tc>
        <w:tc>
          <w:tcPr>
            <w:tcW w:w="1133" w:type="dxa"/>
          </w:tcPr>
          <w:p>
            <w:pPr>
              <w:pStyle w:val="112"/>
              <w:spacing w:beforeLines="0" w:after="0" w:line="240" w:lineRule="auto"/>
              <w:ind w:left="0" w:leftChars="0"/>
            </w:pPr>
            <w:r>
              <w:rPr>
                <w:rFonts w:hint="eastAsia"/>
              </w:rPr>
              <w:t>商贸型</w:t>
            </w:r>
          </w:p>
        </w:tc>
        <w:tc>
          <w:tcPr>
            <w:tcW w:w="4869" w:type="dxa"/>
            <w:shd w:val="clear" w:color="auto" w:fill="auto"/>
          </w:tcPr>
          <w:p>
            <w:pPr>
              <w:pStyle w:val="112"/>
              <w:spacing w:beforeLines="0" w:after="0" w:line="240" w:lineRule="auto"/>
              <w:ind w:left="0" w:leftChars="0"/>
            </w:pPr>
            <w:r>
              <w:rPr>
                <w:rFonts w:hint="eastAsia"/>
              </w:rPr>
              <w:t>以古玩交易、商贸、文化旅游为主的商贸型城镇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jc w:val="center"/>
            </w:pPr>
          </w:p>
        </w:tc>
        <w:tc>
          <w:tcPr>
            <w:tcW w:w="1135" w:type="dxa"/>
            <w:shd w:val="clear" w:color="auto" w:fill="auto"/>
          </w:tcPr>
          <w:p>
            <w:pPr>
              <w:pStyle w:val="112"/>
              <w:spacing w:beforeLines="0" w:after="0" w:line="240" w:lineRule="auto"/>
              <w:ind w:left="0" w:leftChars="0"/>
            </w:pPr>
            <w:r>
              <w:rPr>
                <w:rFonts w:hint="eastAsia"/>
              </w:rPr>
              <w:t>洪善镇</w:t>
            </w:r>
          </w:p>
        </w:tc>
        <w:tc>
          <w:tcPr>
            <w:tcW w:w="1133" w:type="dxa"/>
          </w:tcPr>
          <w:p>
            <w:pPr>
              <w:pStyle w:val="112"/>
              <w:spacing w:beforeLines="0" w:after="0" w:line="240" w:lineRule="auto"/>
              <w:ind w:left="0" w:leftChars="0"/>
            </w:pPr>
            <w:r>
              <w:rPr>
                <w:rFonts w:hint="eastAsia"/>
              </w:rPr>
              <w:t>农贸型</w:t>
            </w:r>
          </w:p>
        </w:tc>
        <w:tc>
          <w:tcPr>
            <w:tcW w:w="4869" w:type="dxa"/>
            <w:shd w:val="clear" w:color="auto" w:fill="auto"/>
          </w:tcPr>
          <w:p>
            <w:pPr>
              <w:pStyle w:val="112"/>
              <w:spacing w:beforeLines="0" w:after="0" w:line="240" w:lineRule="auto"/>
              <w:ind w:left="0" w:leftChars="0"/>
            </w:pPr>
            <w:r>
              <w:rPr>
                <w:rFonts w:hint="eastAsia"/>
              </w:rPr>
              <w:t>以农副产品加工、商贸、旅游为主的农贸型城镇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vMerge w:val="continue"/>
          </w:tcPr>
          <w:p>
            <w:pPr>
              <w:pStyle w:val="112"/>
              <w:spacing w:beforeLines="0" w:after="0" w:line="240" w:lineRule="auto"/>
              <w:ind w:left="0" w:leftChars="0"/>
              <w:jc w:val="center"/>
            </w:pPr>
          </w:p>
        </w:tc>
        <w:tc>
          <w:tcPr>
            <w:tcW w:w="1135" w:type="dxa"/>
            <w:shd w:val="clear" w:color="auto" w:fill="auto"/>
          </w:tcPr>
          <w:p>
            <w:pPr>
              <w:pStyle w:val="112"/>
              <w:spacing w:beforeLines="0" w:after="0" w:line="240" w:lineRule="auto"/>
              <w:ind w:left="0" w:leftChars="0"/>
            </w:pPr>
            <w:r>
              <w:rPr>
                <w:rFonts w:hint="eastAsia"/>
              </w:rPr>
              <w:t>段村镇</w:t>
            </w:r>
          </w:p>
        </w:tc>
        <w:tc>
          <w:tcPr>
            <w:tcW w:w="1133" w:type="dxa"/>
          </w:tcPr>
          <w:p>
            <w:pPr>
              <w:pStyle w:val="112"/>
              <w:spacing w:beforeLines="0" w:after="0" w:line="240" w:lineRule="auto"/>
              <w:ind w:left="0" w:leftChars="0"/>
            </w:pPr>
            <w:r>
              <w:rPr>
                <w:rFonts w:hint="eastAsia"/>
              </w:rPr>
              <w:t>工贸型</w:t>
            </w:r>
          </w:p>
        </w:tc>
        <w:tc>
          <w:tcPr>
            <w:tcW w:w="4869" w:type="dxa"/>
            <w:shd w:val="clear" w:color="auto" w:fill="auto"/>
          </w:tcPr>
          <w:p>
            <w:pPr>
              <w:pStyle w:val="112"/>
              <w:spacing w:beforeLines="0" w:after="0" w:line="240" w:lineRule="auto"/>
              <w:ind w:left="0" w:leftChars="0"/>
            </w:pPr>
            <w:r>
              <w:rPr>
                <w:rFonts w:hint="eastAsia"/>
              </w:rPr>
              <w:t>以煤焦化工、新材料为主的工业型城镇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6" w:hRule="atLeast"/>
          <w:jc w:val="center"/>
        </w:trPr>
        <w:tc>
          <w:tcPr>
            <w:tcW w:w="1385" w:type="dxa"/>
          </w:tcPr>
          <w:p>
            <w:pPr>
              <w:pStyle w:val="25"/>
              <w:spacing w:beforeLines="0" w:line="240" w:lineRule="auto"/>
              <w:ind w:left="0" w:leftChars="0"/>
              <w:rPr>
                <w:rFonts w:hAnsi="宋体" w:cs="宋体"/>
              </w:rPr>
            </w:pPr>
            <w:r>
              <w:rPr>
                <w:rFonts w:hint="eastAsia" w:hAnsi="宋体" w:cs="宋体"/>
              </w:rPr>
              <w:t>一般镇</w:t>
            </w:r>
          </w:p>
        </w:tc>
        <w:tc>
          <w:tcPr>
            <w:tcW w:w="1135" w:type="dxa"/>
            <w:shd w:val="clear" w:color="auto" w:fill="auto"/>
          </w:tcPr>
          <w:p>
            <w:pPr>
              <w:pStyle w:val="25"/>
              <w:spacing w:beforeLines="0" w:line="240" w:lineRule="auto"/>
              <w:ind w:left="0" w:leftChars="0"/>
              <w:rPr>
                <w:rFonts w:hAnsi="宋体" w:cs="宋体"/>
              </w:rPr>
            </w:pPr>
            <w:r>
              <w:rPr>
                <w:rFonts w:hint="eastAsia" w:hAnsi="宋体" w:cs="宋体"/>
              </w:rPr>
              <w:t>-</w:t>
            </w:r>
          </w:p>
        </w:tc>
        <w:tc>
          <w:tcPr>
            <w:tcW w:w="1133" w:type="dxa"/>
          </w:tcPr>
          <w:p>
            <w:pPr>
              <w:pStyle w:val="25"/>
              <w:spacing w:beforeLines="0" w:line="240" w:lineRule="auto"/>
              <w:ind w:left="0" w:leftChars="0"/>
              <w:rPr>
                <w:rFonts w:hAnsi="宋体" w:cs="宋体"/>
              </w:rPr>
            </w:pPr>
            <w:r>
              <w:rPr>
                <w:rFonts w:hint="eastAsia" w:hAnsi="宋体" w:cs="宋体"/>
              </w:rPr>
              <w:t>集贸型</w:t>
            </w:r>
          </w:p>
        </w:tc>
        <w:tc>
          <w:tcPr>
            <w:tcW w:w="4869" w:type="dxa"/>
            <w:shd w:val="clear" w:color="auto" w:fill="auto"/>
          </w:tcPr>
          <w:p>
            <w:pPr>
              <w:pStyle w:val="25"/>
              <w:spacing w:beforeLines="0" w:line="240" w:lineRule="auto"/>
              <w:ind w:left="0" w:leftChars="0"/>
              <w:rPr>
                <w:rFonts w:hAnsi="宋体" w:cs="宋体"/>
              </w:rPr>
            </w:pPr>
            <w:r>
              <w:rPr>
                <w:rFonts w:hint="eastAsia" w:hAnsi="宋体" w:cs="宋体"/>
              </w:rPr>
              <w:t>为本乡镇域内的农产品集散和交易地</w:t>
            </w:r>
          </w:p>
        </w:tc>
      </w:tr>
      <w:bookmarkEnd w:id="359"/>
    </w:tbl>
    <w:p>
      <w:pPr>
        <w:pStyle w:val="3"/>
        <w:spacing w:before="156" w:after="156"/>
        <w:rPr>
          <w:rFonts w:ascii="Arial" w:hAnsi="Arial"/>
        </w:rPr>
        <w:sectPr>
          <w:pgSz w:w="11906" w:h="16838"/>
          <w:pgMar w:top="1440" w:right="1800" w:bottom="1440" w:left="1800" w:header="851" w:footer="992" w:gutter="0"/>
          <w:cols w:space="425" w:num="1"/>
          <w:docGrid w:type="lines" w:linePitch="312" w:charSpace="0"/>
        </w:sectPr>
      </w:pPr>
    </w:p>
    <w:p>
      <w:pPr>
        <w:pStyle w:val="3"/>
        <w:spacing w:before="156" w:after="156"/>
        <w:rPr>
          <w:rFonts w:ascii="Arial" w:hAnsi="Arial"/>
        </w:rPr>
      </w:pPr>
      <w:bookmarkStart w:id="370" w:name="_Toc492850143"/>
      <w:r>
        <w:rPr>
          <w:rFonts w:hint="eastAsia" w:ascii="Arial" w:hAnsi="Arial"/>
        </w:rPr>
        <w:t>附表4：城市规划建设用地平衡表</w:t>
      </w:r>
      <w:bookmarkEnd w:id="370"/>
    </w:p>
    <w:tbl>
      <w:tblPr>
        <w:tblStyle w:val="56"/>
        <w:tblW w:w="1005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7"/>
        <w:gridCol w:w="709"/>
        <w:gridCol w:w="520"/>
        <w:gridCol w:w="1889"/>
        <w:gridCol w:w="1289"/>
        <w:gridCol w:w="1063"/>
        <w:gridCol w:w="746"/>
        <w:gridCol w:w="1405"/>
        <w:gridCol w:w="969"/>
        <w:gridCol w:w="10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restart"/>
          </w:tcPr>
          <w:p>
            <w:pPr>
              <w:spacing w:beforeLines="0" w:line="0" w:lineRule="atLeast"/>
              <w:ind w:left="0" w:leftChars="0" w:firstLine="0" w:firstLineChars="0"/>
              <w:jc w:val="center"/>
              <w:rPr>
                <w:rFonts w:cs="宋体" w:eastAsiaTheme="minorEastAsia"/>
                <w:b/>
                <w:sz w:val="21"/>
                <w:szCs w:val="21"/>
              </w:rPr>
            </w:pPr>
            <w:r>
              <w:rPr>
                <w:rFonts w:hint="eastAsia" w:cs="宋体" w:eastAsiaTheme="minorEastAsia"/>
                <w:b/>
                <w:sz w:val="21"/>
                <w:szCs w:val="21"/>
              </w:rPr>
              <w:t>序号</w:t>
            </w:r>
          </w:p>
        </w:tc>
        <w:tc>
          <w:tcPr>
            <w:tcW w:w="709" w:type="dxa"/>
            <w:vMerge w:val="restart"/>
          </w:tcPr>
          <w:p>
            <w:pPr>
              <w:spacing w:beforeLines="0" w:line="0" w:lineRule="atLeast"/>
              <w:ind w:left="0" w:leftChars="0" w:firstLine="0" w:firstLineChars="0"/>
              <w:jc w:val="center"/>
              <w:rPr>
                <w:rFonts w:cs="宋体" w:eastAsiaTheme="minorEastAsia"/>
                <w:b/>
                <w:sz w:val="21"/>
                <w:szCs w:val="21"/>
              </w:rPr>
            </w:pPr>
            <w:r>
              <w:rPr>
                <w:rFonts w:hint="eastAsia" w:cs="宋体" w:eastAsiaTheme="minorEastAsia"/>
                <w:b/>
                <w:sz w:val="21"/>
                <w:szCs w:val="21"/>
              </w:rPr>
              <w:t>用地代码</w:t>
            </w:r>
          </w:p>
        </w:tc>
        <w:tc>
          <w:tcPr>
            <w:tcW w:w="2409" w:type="dxa"/>
            <w:gridSpan w:val="2"/>
            <w:vMerge w:val="restart"/>
          </w:tcPr>
          <w:p>
            <w:pPr>
              <w:spacing w:beforeLines="0" w:line="0" w:lineRule="atLeast"/>
              <w:ind w:left="0" w:leftChars="0" w:firstLine="0" w:firstLineChars="0"/>
              <w:jc w:val="center"/>
              <w:rPr>
                <w:rFonts w:cs="宋体" w:eastAsiaTheme="minorEastAsia"/>
                <w:b/>
                <w:sz w:val="21"/>
                <w:szCs w:val="21"/>
              </w:rPr>
            </w:pPr>
            <w:r>
              <w:rPr>
                <w:rFonts w:hint="eastAsia" w:cs="宋体" w:eastAsiaTheme="minorEastAsia"/>
                <w:b/>
                <w:sz w:val="21"/>
                <w:szCs w:val="21"/>
              </w:rPr>
              <w:t>用地性质</w:t>
            </w:r>
          </w:p>
        </w:tc>
        <w:tc>
          <w:tcPr>
            <w:tcW w:w="2352" w:type="dxa"/>
            <w:gridSpan w:val="2"/>
          </w:tcPr>
          <w:p>
            <w:pPr>
              <w:spacing w:beforeLines="0" w:line="0" w:lineRule="atLeast"/>
              <w:ind w:left="0" w:leftChars="0" w:firstLine="0" w:firstLineChars="0"/>
              <w:jc w:val="center"/>
              <w:rPr>
                <w:rFonts w:cs="宋体" w:eastAsiaTheme="minorEastAsia"/>
                <w:b/>
                <w:sz w:val="21"/>
                <w:szCs w:val="21"/>
              </w:rPr>
            </w:pPr>
            <w:r>
              <w:rPr>
                <w:rFonts w:hint="eastAsia" w:cs="宋体" w:eastAsiaTheme="minorEastAsia"/>
                <w:b/>
                <w:sz w:val="21"/>
                <w:szCs w:val="21"/>
              </w:rPr>
              <w:t>用地面积（万平方米）</w:t>
            </w:r>
          </w:p>
        </w:tc>
        <w:tc>
          <w:tcPr>
            <w:tcW w:w="2151" w:type="dxa"/>
            <w:gridSpan w:val="2"/>
          </w:tcPr>
          <w:p>
            <w:pPr>
              <w:spacing w:beforeLines="0" w:line="0" w:lineRule="atLeast"/>
              <w:ind w:left="0" w:leftChars="0" w:firstLine="0" w:firstLineChars="0"/>
              <w:jc w:val="center"/>
              <w:rPr>
                <w:rFonts w:cs="宋体" w:eastAsiaTheme="minorEastAsia"/>
                <w:b/>
                <w:sz w:val="21"/>
                <w:szCs w:val="21"/>
              </w:rPr>
            </w:pPr>
            <w:r>
              <w:rPr>
                <w:rFonts w:hint="eastAsia" w:cs="宋体" w:eastAsiaTheme="minorEastAsia"/>
                <w:b/>
                <w:sz w:val="21"/>
                <w:szCs w:val="21"/>
              </w:rPr>
              <w:t>人均用地(平方米/人)</w:t>
            </w:r>
          </w:p>
        </w:tc>
        <w:tc>
          <w:tcPr>
            <w:tcW w:w="2002" w:type="dxa"/>
            <w:gridSpan w:val="2"/>
          </w:tcPr>
          <w:p>
            <w:pPr>
              <w:spacing w:beforeLines="0" w:line="0" w:lineRule="atLeast"/>
              <w:ind w:left="0" w:leftChars="0" w:firstLine="0" w:firstLineChars="0"/>
              <w:jc w:val="center"/>
              <w:rPr>
                <w:rFonts w:cs="宋体" w:eastAsiaTheme="minorEastAsia"/>
                <w:b/>
                <w:sz w:val="21"/>
                <w:szCs w:val="21"/>
              </w:rPr>
            </w:pPr>
            <w:r>
              <w:rPr>
                <w:rFonts w:hint="eastAsia" w:cs="宋体" w:eastAsiaTheme="minorEastAsia"/>
                <w:b/>
                <w:sz w:val="21"/>
                <w:szCs w:val="21"/>
              </w:rPr>
              <w:t>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spacing w:beforeLines="0" w:line="0" w:lineRule="atLeast"/>
              <w:ind w:left="0" w:leftChars="0" w:firstLine="0" w:firstLineChars="0"/>
              <w:jc w:val="center"/>
              <w:rPr>
                <w:rFonts w:cs="宋体" w:eastAsiaTheme="minorEastAsia"/>
                <w:b/>
                <w:sz w:val="21"/>
                <w:szCs w:val="21"/>
              </w:rPr>
            </w:pPr>
          </w:p>
        </w:tc>
        <w:tc>
          <w:tcPr>
            <w:tcW w:w="709" w:type="dxa"/>
            <w:vMerge w:val="continue"/>
          </w:tcPr>
          <w:p>
            <w:pPr>
              <w:spacing w:beforeLines="0" w:line="0" w:lineRule="atLeast"/>
              <w:ind w:left="0" w:leftChars="0" w:firstLine="0" w:firstLineChars="0"/>
              <w:jc w:val="center"/>
              <w:rPr>
                <w:rFonts w:cs="宋体" w:eastAsiaTheme="minorEastAsia"/>
                <w:b/>
                <w:sz w:val="21"/>
                <w:szCs w:val="21"/>
              </w:rPr>
            </w:pPr>
          </w:p>
        </w:tc>
        <w:tc>
          <w:tcPr>
            <w:tcW w:w="2409" w:type="dxa"/>
            <w:gridSpan w:val="2"/>
            <w:vMerge w:val="continue"/>
          </w:tcPr>
          <w:p>
            <w:pPr>
              <w:spacing w:beforeLines="0" w:line="0" w:lineRule="atLeast"/>
              <w:ind w:left="0" w:leftChars="0" w:firstLine="0" w:firstLineChars="0"/>
              <w:jc w:val="center"/>
              <w:rPr>
                <w:rFonts w:cs="宋体" w:eastAsiaTheme="minorEastAsia"/>
                <w:b/>
                <w:sz w:val="21"/>
                <w:szCs w:val="21"/>
              </w:rPr>
            </w:pPr>
          </w:p>
        </w:tc>
        <w:tc>
          <w:tcPr>
            <w:tcW w:w="1289" w:type="dxa"/>
          </w:tcPr>
          <w:p>
            <w:pPr>
              <w:spacing w:beforeLines="0" w:line="0" w:lineRule="atLeast"/>
              <w:ind w:left="0" w:leftChars="0" w:firstLine="0" w:firstLineChars="0"/>
              <w:jc w:val="center"/>
              <w:rPr>
                <w:rFonts w:cs="宋体" w:eastAsiaTheme="minorEastAsia"/>
                <w:b/>
                <w:sz w:val="21"/>
                <w:szCs w:val="21"/>
              </w:rPr>
            </w:pPr>
            <w:r>
              <w:rPr>
                <w:rFonts w:hint="eastAsia" w:cs="宋体" w:eastAsiaTheme="minorEastAsia"/>
                <w:b/>
                <w:sz w:val="21"/>
                <w:szCs w:val="21"/>
              </w:rPr>
              <w:t>现状</w:t>
            </w:r>
          </w:p>
        </w:tc>
        <w:tc>
          <w:tcPr>
            <w:tcW w:w="1063" w:type="dxa"/>
          </w:tcPr>
          <w:p>
            <w:pPr>
              <w:spacing w:beforeLines="0" w:line="0" w:lineRule="atLeast"/>
              <w:ind w:left="0" w:leftChars="0" w:firstLine="0" w:firstLineChars="0"/>
              <w:jc w:val="center"/>
              <w:rPr>
                <w:rFonts w:cs="宋体" w:eastAsiaTheme="minorEastAsia"/>
                <w:b/>
                <w:sz w:val="21"/>
                <w:szCs w:val="21"/>
              </w:rPr>
            </w:pPr>
            <w:r>
              <w:rPr>
                <w:rFonts w:hint="eastAsia" w:cs="宋体" w:eastAsiaTheme="minorEastAsia"/>
                <w:b/>
                <w:sz w:val="21"/>
                <w:szCs w:val="21"/>
              </w:rPr>
              <w:t>规划</w:t>
            </w:r>
          </w:p>
        </w:tc>
        <w:tc>
          <w:tcPr>
            <w:tcW w:w="746" w:type="dxa"/>
          </w:tcPr>
          <w:p>
            <w:pPr>
              <w:spacing w:beforeLines="0" w:line="0" w:lineRule="atLeast"/>
              <w:ind w:left="0" w:leftChars="0" w:firstLine="0" w:firstLineChars="0"/>
              <w:jc w:val="center"/>
              <w:rPr>
                <w:rFonts w:cs="宋体" w:eastAsiaTheme="minorEastAsia"/>
                <w:b/>
                <w:sz w:val="21"/>
                <w:szCs w:val="21"/>
              </w:rPr>
            </w:pPr>
            <w:r>
              <w:rPr>
                <w:rFonts w:hint="eastAsia" w:cs="宋体" w:eastAsiaTheme="minorEastAsia"/>
                <w:b/>
                <w:sz w:val="21"/>
                <w:szCs w:val="21"/>
              </w:rPr>
              <w:t>现状</w:t>
            </w:r>
          </w:p>
        </w:tc>
        <w:tc>
          <w:tcPr>
            <w:tcW w:w="1405" w:type="dxa"/>
          </w:tcPr>
          <w:p>
            <w:pPr>
              <w:spacing w:beforeLines="0" w:line="0" w:lineRule="atLeast"/>
              <w:ind w:left="0" w:leftChars="0" w:firstLine="0" w:firstLineChars="0"/>
              <w:jc w:val="center"/>
              <w:rPr>
                <w:rFonts w:cs="宋体" w:eastAsiaTheme="minorEastAsia"/>
                <w:b/>
                <w:sz w:val="21"/>
                <w:szCs w:val="21"/>
              </w:rPr>
            </w:pPr>
            <w:r>
              <w:rPr>
                <w:rFonts w:hint="eastAsia" w:cs="宋体" w:eastAsiaTheme="minorEastAsia"/>
                <w:b/>
                <w:sz w:val="21"/>
                <w:szCs w:val="21"/>
              </w:rPr>
              <w:t>规划</w:t>
            </w:r>
          </w:p>
        </w:tc>
        <w:tc>
          <w:tcPr>
            <w:tcW w:w="969" w:type="dxa"/>
          </w:tcPr>
          <w:p>
            <w:pPr>
              <w:spacing w:beforeLines="0" w:line="0" w:lineRule="atLeast"/>
              <w:ind w:left="0" w:leftChars="0" w:firstLine="0" w:firstLineChars="0"/>
              <w:jc w:val="center"/>
              <w:rPr>
                <w:rFonts w:cs="宋体" w:eastAsiaTheme="minorEastAsia"/>
                <w:b/>
                <w:sz w:val="21"/>
                <w:szCs w:val="21"/>
              </w:rPr>
            </w:pPr>
            <w:r>
              <w:rPr>
                <w:rFonts w:hint="eastAsia" w:cs="宋体" w:eastAsiaTheme="minorEastAsia"/>
                <w:b/>
                <w:sz w:val="21"/>
                <w:szCs w:val="21"/>
              </w:rPr>
              <w:t>现状</w:t>
            </w:r>
          </w:p>
        </w:tc>
        <w:tc>
          <w:tcPr>
            <w:tcW w:w="1033" w:type="dxa"/>
          </w:tcPr>
          <w:p>
            <w:pPr>
              <w:spacing w:beforeLines="0" w:line="0" w:lineRule="atLeast"/>
              <w:ind w:left="0" w:leftChars="0" w:firstLine="0" w:firstLineChars="0"/>
              <w:jc w:val="center"/>
              <w:rPr>
                <w:rFonts w:cs="宋体" w:eastAsiaTheme="minorEastAsia"/>
                <w:b/>
                <w:sz w:val="21"/>
                <w:szCs w:val="21"/>
              </w:rPr>
            </w:pPr>
            <w:r>
              <w:rPr>
                <w:rFonts w:hint="eastAsia" w:cs="宋体" w:eastAsiaTheme="minorEastAsia"/>
                <w:b/>
                <w:sz w:val="21"/>
                <w:szCs w:val="21"/>
              </w:rPr>
              <w:t>规划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restart"/>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w:t>
            </w:r>
          </w:p>
        </w:tc>
        <w:tc>
          <w:tcPr>
            <w:tcW w:w="709" w:type="dxa"/>
          </w:tcPr>
          <w:p>
            <w:pPr>
              <w:widowControl/>
              <w:spacing w:beforeLines="0" w:line="0" w:lineRule="atLeast"/>
              <w:ind w:left="0" w:leftChars="0" w:firstLine="0" w:firstLineChars="0"/>
              <w:jc w:val="left"/>
              <w:rPr>
                <w:rFonts w:cs="宋体" w:eastAsiaTheme="minorEastAsia"/>
                <w:b/>
                <w:bCs/>
                <w:kern w:val="0"/>
                <w:sz w:val="21"/>
                <w:szCs w:val="21"/>
              </w:rPr>
            </w:pPr>
            <w:r>
              <w:rPr>
                <w:rFonts w:hint="eastAsia" w:cs="宋体" w:eastAsiaTheme="minorEastAsia"/>
                <w:b/>
                <w:bCs/>
                <w:kern w:val="0"/>
                <w:sz w:val="21"/>
                <w:szCs w:val="21"/>
              </w:rPr>
              <w:t>R</w:t>
            </w:r>
          </w:p>
        </w:tc>
        <w:tc>
          <w:tcPr>
            <w:tcW w:w="2409" w:type="dxa"/>
            <w:gridSpan w:val="2"/>
          </w:tcPr>
          <w:p>
            <w:pPr>
              <w:widowControl/>
              <w:spacing w:beforeLines="0" w:line="0" w:lineRule="atLeast"/>
              <w:ind w:left="0" w:leftChars="0" w:firstLine="0" w:firstLineChars="0"/>
              <w:jc w:val="left"/>
              <w:rPr>
                <w:rFonts w:cs="宋体" w:eastAsiaTheme="minorEastAsia"/>
                <w:b/>
                <w:bCs/>
                <w:kern w:val="0"/>
                <w:sz w:val="21"/>
                <w:szCs w:val="21"/>
              </w:rPr>
            </w:pPr>
            <w:r>
              <w:rPr>
                <w:rFonts w:hint="eastAsia" w:cs="宋体" w:eastAsiaTheme="minorEastAsia"/>
                <w:b/>
                <w:bCs/>
                <w:kern w:val="0"/>
                <w:sz w:val="21"/>
                <w:szCs w:val="21"/>
              </w:rPr>
              <w:t>居住用地</w:t>
            </w:r>
          </w:p>
        </w:tc>
        <w:tc>
          <w:tcPr>
            <w:tcW w:w="128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1630.48</w:t>
            </w:r>
          </w:p>
        </w:tc>
        <w:tc>
          <w:tcPr>
            <w:tcW w:w="106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3992.22</w:t>
            </w:r>
          </w:p>
        </w:tc>
        <w:tc>
          <w:tcPr>
            <w:tcW w:w="746"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23.29</w:t>
            </w:r>
          </w:p>
        </w:tc>
        <w:tc>
          <w:tcPr>
            <w:tcW w:w="1405"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30.24</w:t>
            </w:r>
          </w:p>
        </w:tc>
        <w:tc>
          <w:tcPr>
            <w:tcW w:w="96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25.87%</w:t>
            </w:r>
          </w:p>
        </w:tc>
        <w:tc>
          <w:tcPr>
            <w:tcW w:w="103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28.81%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restart"/>
          </w:tcPr>
          <w:p>
            <w:pPr>
              <w:widowControl/>
              <w:spacing w:beforeLines="0" w:line="0" w:lineRule="atLeast"/>
              <w:ind w:left="0" w:leftChars="0" w:firstLine="0" w:firstLineChars="0"/>
              <w:jc w:val="center"/>
              <w:rPr>
                <w:rFonts w:cs="宋体" w:eastAsiaTheme="minorEastAsia"/>
                <w:kern w:val="0"/>
                <w:sz w:val="21"/>
                <w:szCs w:val="21"/>
              </w:rPr>
            </w:pPr>
            <w:r>
              <w:rPr>
                <w:rFonts w:cs="宋体" w:eastAsiaTheme="minorEastAsia"/>
                <w:kern w:val="0"/>
                <w:sz w:val="21"/>
                <w:szCs w:val="21"/>
              </w:rPr>
              <w:t>　</w:t>
            </w: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R2</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二类居住用地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1314.36</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3992.22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18.78</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30.24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20.86%</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28.81%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R3</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三类居住用地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316.12</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0.00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4.52</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0.00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5.02%</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427" w:type="dxa"/>
            <w:vMerge w:val="restart"/>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2</w:t>
            </w:r>
          </w:p>
        </w:tc>
        <w:tc>
          <w:tcPr>
            <w:tcW w:w="709" w:type="dxa"/>
          </w:tcPr>
          <w:p>
            <w:pPr>
              <w:widowControl/>
              <w:spacing w:beforeLines="0" w:line="0" w:lineRule="atLeast"/>
              <w:ind w:left="0" w:leftChars="0" w:firstLine="0" w:firstLineChars="0"/>
              <w:jc w:val="left"/>
              <w:rPr>
                <w:rFonts w:cs="宋体" w:eastAsiaTheme="minorEastAsia"/>
                <w:b/>
                <w:bCs/>
                <w:kern w:val="0"/>
                <w:sz w:val="21"/>
                <w:szCs w:val="21"/>
              </w:rPr>
            </w:pPr>
            <w:r>
              <w:rPr>
                <w:rFonts w:hint="eastAsia" w:cs="宋体" w:eastAsiaTheme="minorEastAsia"/>
                <w:b/>
                <w:bCs/>
                <w:kern w:val="0"/>
                <w:sz w:val="21"/>
                <w:szCs w:val="21"/>
              </w:rPr>
              <w:t>A</w:t>
            </w:r>
          </w:p>
        </w:tc>
        <w:tc>
          <w:tcPr>
            <w:tcW w:w="2409" w:type="dxa"/>
            <w:gridSpan w:val="2"/>
          </w:tcPr>
          <w:p>
            <w:pPr>
              <w:widowControl/>
              <w:spacing w:beforeLines="0" w:line="0" w:lineRule="atLeast"/>
              <w:ind w:left="0" w:leftChars="0" w:firstLine="0" w:firstLineChars="0"/>
              <w:jc w:val="left"/>
              <w:rPr>
                <w:rFonts w:cs="宋体" w:eastAsiaTheme="minorEastAsia"/>
                <w:b/>
                <w:bCs/>
                <w:kern w:val="0"/>
                <w:sz w:val="21"/>
                <w:szCs w:val="21"/>
              </w:rPr>
            </w:pPr>
            <w:r>
              <w:rPr>
                <w:rFonts w:hint="eastAsia" w:cs="宋体" w:eastAsiaTheme="minorEastAsia"/>
                <w:b/>
                <w:bCs/>
                <w:kern w:val="0"/>
                <w:sz w:val="21"/>
                <w:szCs w:val="21"/>
              </w:rPr>
              <w:t>公共管理与公共服务设施用地</w:t>
            </w:r>
          </w:p>
        </w:tc>
        <w:tc>
          <w:tcPr>
            <w:tcW w:w="128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1023.8</w:t>
            </w:r>
          </w:p>
        </w:tc>
        <w:tc>
          <w:tcPr>
            <w:tcW w:w="106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1806.45</w:t>
            </w:r>
          </w:p>
        </w:tc>
        <w:tc>
          <w:tcPr>
            <w:tcW w:w="746"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14.63</w:t>
            </w:r>
          </w:p>
        </w:tc>
        <w:tc>
          <w:tcPr>
            <w:tcW w:w="1405"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13.69</w:t>
            </w:r>
          </w:p>
        </w:tc>
        <w:tc>
          <w:tcPr>
            <w:tcW w:w="96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16.25%</w:t>
            </w:r>
          </w:p>
        </w:tc>
        <w:tc>
          <w:tcPr>
            <w:tcW w:w="103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13.04%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restart"/>
            <w:textDirection w:val="tbRlV"/>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其中</w:t>
            </w: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A1</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行政办公用地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81.99</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108.23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1.17</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0.82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1.30%</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A2</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文化设施用地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11.33</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106.39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0.16</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0.81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0.18%</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A3</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教育科研用地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839.85</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1325.97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12</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10.05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13.33%</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9.57%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A4 </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体育用地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33.64</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81.99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0.48</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0.62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0.53%</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A5</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医疗卫生用地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42.47</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131.75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0.61</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1.00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0.67%</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A6</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社会福利用地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8.93</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36.02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0.13</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0.27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0.14%</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A7</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文物古迹用地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1.51</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11.37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0.02</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0.09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0.02%</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A9</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宗教用地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4.09</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4.74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0.06</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0.04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0.06%</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restart"/>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3</w:t>
            </w:r>
          </w:p>
        </w:tc>
        <w:tc>
          <w:tcPr>
            <w:tcW w:w="709" w:type="dxa"/>
          </w:tcPr>
          <w:p>
            <w:pPr>
              <w:widowControl/>
              <w:spacing w:beforeLines="0" w:line="0" w:lineRule="atLeast"/>
              <w:ind w:left="0" w:leftChars="0" w:firstLine="0" w:firstLineChars="0"/>
              <w:jc w:val="left"/>
              <w:rPr>
                <w:rFonts w:cs="宋体" w:eastAsiaTheme="minorEastAsia"/>
                <w:b/>
                <w:bCs/>
                <w:kern w:val="0"/>
                <w:sz w:val="21"/>
                <w:szCs w:val="21"/>
              </w:rPr>
            </w:pPr>
            <w:r>
              <w:rPr>
                <w:rFonts w:hint="eastAsia" w:cs="宋体" w:eastAsiaTheme="minorEastAsia"/>
                <w:b/>
                <w:bCs/>
                <w:kern w:val="0"/>
                <w:sz w:val="21"/>
                <w:szCs w:val="21"/>
              </w:rPr>
              <w:t>B</w:t>
            </w:r>
          </w:p>
        </w:tc>
        <w:tc>
          <w:tcPr>
            <w:tcW w:w="2409" w:type="dxa"/>
            <w:gridSpan w:val="2"/>
          </w:tcPr>
          <w:p>
            <w:pPr>
              <w:widowControl/>
              <w:spacing w:beforeLines="0" w:line="0" w:lineRule="atLeast"/>
              <w:ind w:left="0" w:leftChars="0" w:firstLine="0" w:firstLineChars="0"/>
              <w:jc w:val="left"/>
              <w:rPr>
                <w:rFonts w:cs="宋体" w:eastAsiaTheme="minorEastAsia"/>
                <w:b/>
                <w:bCs/>
                <w:kern w:val="0"/>
                <w:sz w:val="21"/>
                <w:szCs w:val="21"/>
              </w:rPr>
            </w:pPr>
            <w:r>
              <w:rPr>
                <w:rFonts w:hint="eastAsia" w:cs="宋体" w:eastAsiaTheme="minorEastAsia"/>
                <w:b/>
                <w:bCs/>
                <w:kern w:val="0"/>
                <w:sz w:val="21"/>
                <w:szCs w:val="21"/>
              </w:rPr>
              <w:t>商业服务设施用地</w:t>
            </w:r>
          </w:p>
        </w:tc>
        <w:tc>
          <w:tcPr>
            <w:tcW w:w="128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276.41</w:t>
            </w:r>
          </w:p>
        </w:tc>
        <w:tc>
          <w:tcPr>
            <w:tcW w:w="106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1212.37</w:t>
            </w:r>
          </w:p>
        </w:tc>
        <w:tc>
          <w:tcPr>
            <w:tcW w:w="746"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3.95</w:t>
            </w:r>
          </w:p>
        </w:tc>
        <w:tc>
          <w:tcPr>
            <w:tcW w:w="1405"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9.18</w:t>
            </w:r>
          </w:p>
        </w:tc>
        <w:tc>
          <w:tcPr>
            <w:tcW w:w="96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4.39%</w:t>
            </w:r>
          </w:p>
        </w:tc>
        <w:tc>
          <w:tcPr>
            <w:tcW w:w="103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8.75%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restart"/>
            <w:textDirection w:val="tbRlV"/>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其中</w:t>
            </w: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B1</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商业用地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251.05</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939.38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3.59</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7.12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3.98%</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6.78%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B2</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商务用地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202.02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1.53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B3</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娱乐康体用地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11.56</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64.19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0.17</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0.49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0.18%</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B4</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公用设施营业网点用地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13.81</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6.79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0.2</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0.05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0.22%</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restart"/>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4</w:t>
            </w:r>
          </w:p>
        </w:tc>
        <w:tc>
          <w:tcPr>
            <w:tcW w:w="70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M</w:t>
            </w:r>
          </w:p>
        </w:tc>
        <w:tc>
          <w:tcPr>
            <w:tcW w:w="2409" w:type="dxa"/>
            <w:gridSpan w:val="2"/>
          </w:tcPr>
          <w:p>
            <w:pPr>
              <w:widowControl/>
              <w:spacing w:beforeLines="0" w:line="0" w:lineRule="atLeast"/>
              <w:ind w:left="0" w:leftChars="0" w:firstLine="0" w:firstLineChars="0"/>
              <w:jc w:val="left"/>
              <w:rPr>
                <w:rFonts w:cs="宋体" w:eastAsiaTheme="minorEastAsia"/>
                <w:b/>
                <w:bCs/>
                <w:kern w:val="0"/>
                <w:sz w:val="21"/>
                <w:szCs w:val="21"/>
              </w:rPr>
            </w:pPr>
            <w:r>
              <w:rPr>
                <w:rFonts w:hint="eastAsia" w:cs="宋体" w:eastAsiaTheme="minorEastAsia"/>
                <w:b/>
                <w:bCs/>
                <w:kern w:val="0"/>
                <w:sz w:val="21"/>
                <w:szCs w:val="21"/>
              </w:rPr>
              <w:t>工业用地</w:t>
            </w:r>
          </w:p>
        </w:tc>
        <w:tc>
          <w:tcPr>
            <w:tcW w:w="128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1788.46</w:t>
            </w:r>
          </w:p>
        </w:tc>
        <w:tc>
          <w:tcPr>
            <w:tcW w:w="106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2255.19</w:t>
            </w:r>
          </w:p>
        </w:tc>
        <w:tc>
          <w:tcPr>
            <w:tcW w:w="746"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25.55</w:t>
            </w:r>
          </w:p>
        </w:tc>
        <w:tc>
          <w:tcPr>
            <w:tcW w:w="1405"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17.08</w:t>
            </w:r>
          </w:p>
        </w:tc>
        <w:tc>
          <w:tcPr>
            <w:tcW w:w="96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28.38%</w:t>
            </w:r>
          </w:p>
        </w:tc>
        <w:tc>
          <w:tcPr>
            <w:tcW w:w="103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16.27%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restart"/>
            <w:textDirection w:val="tbRlV"/>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其中</w:t>
            </w: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M1</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一类工业用地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147.38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 </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1.12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M2</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二类工业用地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1497.24</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1995.79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21.39</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15.12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23.76%</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14.40%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M3</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三类工业用地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291.22</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112.02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4.16</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0.85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4.62%</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restart"/>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5</w:t>
            </w:r>
          </w:p>
        </w:tc>
        <w:tc>
          <w:tcPr>
            <w:tcW w:w="70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w:t>
            </w:r>
          </w:p>
        </w:tc>
        <w:tc>
          <w:tcPr>
            <w:tcW w:w="2409" w:type="dxa"/>
            <w:gridSpan w:val="2"/>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仓储物流用地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127.28</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375.13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1.82</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2.84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2.02%</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2.71%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restart"/>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w:t>
            </w: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W1</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一类物流仓储用地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127.28</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365.12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1.82</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2.77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2.02%</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2.63%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W3</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三类物流仓储用地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10.01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0.08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427" w:type="dxa"/>
            <w:vMerge w:val="restart"/>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7</w:t>
            </w:r>
          </w:p>
        </w:tc>
        <w:tc>
          <w:tcPr>
            <w:tcW w:w="709" w:type="dxa"/>
          </w:tcPr>
          <w:p>
            <w:pPr>
              <w:widowControl/>
              <w:spacing w:beforeLines="0" w:line="0" w:lineRule="atLeast"/>
              <w:ind w:left="0" w:leftChars="0" w:firstLine="0" w:firstLineChars="0"/>
              <w:jc w:val="left"/>
              <w:rPr>
                <w:rFonts w:cs="宋体" w:eastAsiaTheme="minorEastAsia"/>
                <w:b/>
                <w:bCs/>
                <w:kern w:val="0"/>
                <w:sz w:val="21"/>
                <w:szCs w:val="21"/>
              </w:rPr>
            </w:pPr>
            <w:r>
              <w:rPr>
                <w:rFonts w:hint="eastAsia" w:cs="宋体" w:eastAsiaTheme="minorEastAsia"/>
                <w:b/>
                <w:bCs/>
                <w:kern w:val="0"/>
                <w:sz w:val="21"/>
                <w:szCs w:val="21"/>
              </w:rPr>
              <w:t>S</w:t>
            </w:r>
          </w:p>
        </w:tc>
        <w:tc>
          <w:tcPr>
            <w:tcW w:w="2409" w:type="dxa"/>
            <w:gridSpan w:val="2"/>
          </w:tcPr>
          <w:p>
            <w:pPr>
              <w:widowControl/>
              <w:spacing w:beforeLines="0" w:line="0" w:lineRule="atLeast"/>
              <w:ind w:left="0" w:leftChars="0" w:firstLine="0" w:firstLineChars="0"/>
              <w:jc w:val="left"/>
              <w:rPr>
                <w:rFonts w:cs="宋体" w:eastAsiaTheme="minorEastAsia"/>
                <w:b/>
                <w:bCs/>
                <w:kern w:val="0"/>
                <w:sz w:val="21"/>
                <w:szCs w:val="21"/>
              </w:rPr>
            </w:pPr>
            <w:r>
              <w:rPr>
                <w:rFonts w:hint="eastAsia" w:cs="宋体" w:eastAsiaTheme="minorEastAsia"/>
                <w:b/>
                <w:bCs/>
                <w:kern w:val="0"/>
                <w:sz w:val="21"/>
                <w:szCs w:val="21"/>
              </w:rPr>
              <w:t>道路与交通设施用地</w:t>
            </w:r>
          </w:p>
        </w:tc>
        <w:tc>
          <w:tcPr>
            <w:tcW w:w="128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1081.49</w:t>
            </w:r>
          </w:p>
        </w:tc>
        <w:tc>
          <w:tcPr>
            <w:tcW w:w="106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2414.34</w:t>
            </w:r>
          </w:p>
        </w:tc>
        <w:tc>
          <w:tcPr>
            <w:tcW w:w="746"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15.45</w:t>
            </w:r>
          </w:p>
        </w:tc>
        <w:tc>
          <w:tcPr>
            <w:tcW w:w="1405"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18.29</w:t>
            </w:r>
          </w:p>
        </w:tc>
        <w:tc>
          <w:tcPr>
            <w:tcW w:w="96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17.16%</w:t>
            </w:r>
          </w:p>
        </w:tc>
        <w:tc>
          <w:tcPr>
            <w:tcW w:w="103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17.42%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restart"/>
            <w:textDirection w:val="tbRlV"/>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其中</w:t>
            </w: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S1</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道路用地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1046.91</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2282.33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14.96</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17.29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16.61%</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16.47%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S3</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交通枢纽用地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15.77</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28.86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0.23</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0.22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0.25%</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S4</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交通场站用地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18.81</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103.15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0.27</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0.78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0.30%</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restart"/>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8</w:t>
            </w:r>
          </w:p>
        </w:tc>
        <w:tc>
          <w:tcPr>
            <w:tcW w:w="709" w:type="dxa"/>
          </w:tcPr>
          <w:p>
            <w:pPr>
              <w:widowControl/>
              <w:spacing w:beforeLines="0" w:line="0" w:lineRule="atLeast"/>
              <w:ind w:left="0" w:leftChars="0" w:firstLine="0" w:firstLineChars="0"/>
              <w:jc w:val="left"/>
              <w:rPr>
                <w:rFonts w:cs="宋体" w:eastAsiaTheme="minorEastAsia"/>
                <w:b/>
                <w:bCs/>
                <w:kern w:val="0"/>
                <w:sz w:val="21"/>
                <w:szCs w:val="21"/>
              </w:rPr>
            </w:pPr>
            <w:r>
              <w:rPr>
                <w:rFonts w:hint="eastAsia" w:cs="宋体" w:eastAsiaTheme="minorEastAsia"/>
                <w:b/>
                <w:bCs/>
                <w:kern w:val="0"/>
                <w:sz w:val="21"/>
                <w:szCs w:val="21"/>
              </w:rPr>
              <w:t>U</w:t>
            </w:r>
          </w:p>
        </w:tc>
        <w:tc>
          <w:tcPr>
            <w:tcW w:w="2409" w:type="dxa"/>
            <w:gridSpan w:val="2"/>
          </w:tcPr>
          <w:p>
            <w:pPr>
              <w:widowControl/>
              <w:spacing w:beforeLines="0" w:line="0" w:lineRule="atLeast"/>
              <w:ind w:left="0" w:leftChars="0" w:firstLine="0" w:firstLineChars="0"/>
              <w:jc w:val="left"/>
              <w:rPr>
                <w:rFonts w:cs="宋体" w:eastAsiaTheme="minorEastAsia"/>
                <w:b/>
                <w:bCs/>
                <w:kern w:val="0"/>
                <w:sz w:val="21"/>
                <w:szCs w:val="21"/>
              </w:rPr>
            </w:pPr>
            <w:r>
              <w:rPr>
                <w:rFonts w:hint="eastAsia" w:cs="宋体" w:eastAsiaTheme="minorEastAsia"/>
                <w:b/>
                <w:bCs/>
                <w:kern w:val="0"/>
                <w:sz w:val="21"/>
                <w:szCs w:val="21"/>
              </w:rPr>
              <w:t>市政公用设施用地</w:t>
            </w:r>
          </w:p>
        </w:tc>
        <w:tc>
          <w:tcPr>
            <w:tcW w:w="128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82.46</w:t>
            </w:r>
          </w:p>
        </w:tc>
        <w:tc>
          <w:tcPr>
            <w:tcW w:w="106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164.30</w:t>
            </w:r>
          </w:p>
        </w:tc>
        <w:tc>
          <w:tcPr>
            <w:tcW w:w="746"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1.18</w:t>
            </w:r>
          </w:p>
        </w:tc>
        <w:tc>
          <w:tcPr>
            <w:tcW w:w="1405"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1.24</w:t>
            </w:r>
          </w:p>
        </w:tc>
        <w:tc>
          <w:tcPr>
            <w:tcW w:w="96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1.31%</w:t>
            </w:r>
          </w:p>
        </w:tc>
        <w:tc>
          <w:tcPr>
            <w:tcW w:w="103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restart"/>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其中</w:t>
            </w: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U1</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供应设施用地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98.78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0.75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U2</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环境设施用地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53.43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0.40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U3</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安全设施用地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12.09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0.09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restart"/>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9</w:t>
            </w:r>
          </w:p>
        </w:tc>
        <w:tc>
          <w:tcPr>
            <w:tcW w:w="709" w:type="dxa"/>
          </w:tcPr>
          <w:p>
            <w:pPr>
              <w:widowControl/>
              <w:spacing w:beforeLines="0" w:line="0" w:lineRule="atLeast"/>
              <w:ind w:left="0" w:leftChars="0" w:firstLine="0" w:firstLineChars="0"/>
              <w:jc w:val="left"/>
              <w:rPr>
                <w:rFonts w:cs="宋体" w:eastAsiaTheme="minorEastAsia"/>
                <w:b/>
                <w:bCs/>
                <w:kern w:val="0"/>
                <w:sz w:val="21"/>
                <w:szCs w:val="21"/>
              </w:rPr>
            </w:pPr>
            <w:r>
              <w:rPr>
                <w:rFonts w:hint="eastAsia" w:cs="宋体" w:eastAsiaTheme="minorEastAsia"/>
                <w:b/>
                <w:bCs/>
                <w:kern w:val="0"/>
                <w:sz w:val="21"/>
                <w:szCs w:val="21"/>
              </w:rPr>
              <w:t>G</w:t>
            </w:r>
          </w:p>
        </w:tc>
        <w:tc>
          <w:tcPr>
            <w:tcW w:w="2409" w:type="dxa"/>
            <w:gridSpan w:val="2"/>
          </w:tcPr>
          <w:p>
            <w:pPr>
              <w:widowControl/>
              <w:spacing w:beforeLines="0" w:line="0" w:lineRule="atLeast"/>
              <w:ind w:left="0" w:leftChars="0" w:firstLine="0" w:firstLineChars="0"/>
              <w:jc w:val="left"/>
              <w:rPr>
                <w:rFonts w:cs="宋体" w:eastAsiaTheme="minorEastAsia"/>
                <w:b/>
                <w:bCs/>
                <w:kern w:val="0"/>
                <w:sz w:val="21"/>
                <w:szCs w:val="21"/>
              </w:rPr>
            </w:pPr>
            <w:r>
              <w:rPr>
                <w:rFonts w:hint="eastAsia" w:cs="宋体" w:eastAsiaTheme="minorEastAsia"/>
                <w:b/>
                <w:bCs/>
                <w:kern w:val="0"/>
                <w:sz w:val="21"/>
                <w:szCs w:val="21"/>
              </w:rPr>
              <w:t>绿地</w:t>
            </w:r>
          </w:p>
        </w:tc>
        <w:tc>
          <w:tcPr>
            <w:tcW w:w="128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291.49</w:t>
            </w:r>
          </w:p>
        </w:tc>
        <w:tc>
          <w:tcPr>
            <w:tcW w:w="106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1637.32</w:t>
            </w:r>
          </w:p>
        </w:tc>
        <w:tc>
          <w:tcPr>
            <w:tcW w:w="746"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4.16</w:t>
            </w:r>
          </w:p>
        </w:tc>
        <w:tc>
          <w:tcPr>
            <w:tcW w:w="1405"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12.40</w:t>
            </w:r>
          </w:p>
        </w:tc>
        <w:tc>
          <w:tcPr>
            <w:tcW w:w="969"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4.63%</w:t>
            </w:r>
          </w:p>
        </w:tc>
        <w:tc>
          <w:tcPr>
            <w:tcW w:w="1033" w:type="dxa"/>
            <w:vAlign w:val="center"/>
          </w:tcPr>
          <w:p>
            <w:pPr>
              <w:widowControl/>
              <w:spacing w:beforeLines="0" w:line="0" w:lineRule="atLeast"/>
              <w:ind w:left="0" w:leftChars="0" w:firstLine="0" w:firstLineChars="0"/>
              <w:jc w:val="center"/>
              <w:rPr>
                <w:rFonts w:cs="宋体" w:eastAsiaTheme="minorEastAsia"/>
                <w:b/>
                <w:bCs/>
                <w:kern w:val="0"/>
                <w:sz w:val="21"/>
                <w:szCs w:val="21"/>
              </w:rPr>
            </w:pPr>
            <w:r>
              <w:rPr>
                <w:rFonts w:hint="eastAsia" w:cs="宋体" w:eastAsiaTheme="minorEastAsia"/>
                <w:b/>
                <w:bCs/>
                <w:kern w:val="0"/>
                <w:sz w:val="21"/>
                <w:szCs w:val="21"/>
              </w:rPr>
              <w:t>11.82%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restart"/>
            <w:textDirection w:val="tbRlV"/>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其中</w:t>
            </w: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G1</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公园绿地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239.56</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1327.09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3.42</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10.05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3.80%</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9.58%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G2</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防护绿地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38.56</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279.42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0.55</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2.12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0.61%</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2.02%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27"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709" w:type="dxa"/>
            <w:vMerge w:val="continue"/>
          </w:tcPr>
          <w:p>
            <w:pPr>
              <w:widowControl/>
              <w:spacing w:beforeLines="0" w:line="0" w:lineRule="atLeast"/>
              <w:ind w:left="0" w:leftChars="0" w:firstLine="0" w:firstLineChars="0"/>
              <w:jc w:val="center"/>
              <w:rPr>
                <w:rFonts w:cs="宋体" w:eastAsiaTheme="minorEastAsia"/>
                <w:kern w:val="0"/>
                <w:sz w:val="21"/>
                <w:szCs w:val="21"/>
              </w:rPr>
            </w:pPr>
          </w:p>
        </w:tc>
        <w:tc>
          <w:tcPr>
            <w:tcW w:w="520"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G3</w:t>
            </w:r>
          </w:p>
        </w:tc>
        <w:tc>
          <w:tcPr>
            <w:tcW w:w="1889" w:type="dxa"/>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广场用地</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13.38</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30.81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0.19</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0.23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0.21%</w:t>
            </w:r>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3545" w:type="dxa"/>
            <w:gridSpan w:val="4"/>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城市建设用地总面积</w:t>
            </w:r>
          </w:p>
        </w:tc>
        <w:tc>
          <w:tcPr>
            <w:tcW w:w="1289"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6301.88</w:t>
            </w:r>
          </w:p>
        </w:tc>
        <w:tc>
          <w:tcPr>
            <w:tcW w:w="106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13857.32 </w:t>
            </w:r>
          </w:p>
        </w:tc>
        <w:tc>
          <w:tcPr>
            <w:tcW w:w="746"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90.03</w:t>
            </w:r>
          </w:p>
        </w:tc>
        <w:tc>
          <w:tcPr>
            <w:tcW w:w="1405"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 xml:space="preserve">104.98 </w:t>
            </w:r>
          </w:p>
        </w:tc>
        <w:tc>
          <w:tcPr>
            <w:tcW w:w="969" w:type="dxa"/>
            <w:vAlign w:val="center"/>
          </w:tcPr>
          <w:p>
            <w:pPr>
              <w:widowControl/>
              <w:spacing w:beforeLines="0" w:line="0" w:lineRule="atLeast"/>
              <w:ind w:left="0" w:leftChars="0" w:firstLine="0" w:firstLineChars="0"/>
              <w:jc w:val="center"/>
              <w:rPr>
                <w:rFonts w:cs="宋体" w:eastAsiaTheme="minorEastAsia"/>
                <w:kern w:val="0"/>
                <w:sz w:val="21"/>
                <w:szCs w:val="21"/>
              </w:rPr>
            </w:pPr>
            <w:bookmarkStart w:id="371" w:name="RANGE!I40"/>
            <w:r>
              <w:rPr>
                <w:rFonts w:hint="eastAsia" w:cs="宋体" w:eastAsiaTheme="minorEastAsia"/>
                <w:kern w:val="0"/>
                <w:sz w:val="21"/>
                <w:szCs w:val="21"/>
              </w:rPr>
              <w:t>100.00%</w:t>
            </w:r>
            <w:bookmarkEnd w:id="371"/>
          </w:p>
        </w:tc>
        <w:tc>
          <w:tcPr>
            <w:tcW w:w="1033" w:type="dxa"/>
            <w:vAlign w:val="center"/>
          </w:tcPr>
          <w:p>
            <w:pPr>
              <w:widowControl/>
              <w:spacing w:beforeLines="0" w:line="0" w:lineRule="atLeast"/>
              <w:ind w:left="0" w:leftChars="0" w:firstLine="0" w:firstLineChars="0"/>
              <w:jc w:val="center"/>
              <w:rPr>
                <w:rFonts w:cs="宋体" w:eastAsiaTheme="minorEastAsia"/>
                <w:kern w:val="0"/>
                <w:sz w:val="21"/>
                <w:szCs w:val="21"/>
              </w:rPr>
            </w:pPr>
            <w:r>
              <w:rPr>
                <w:rFonts w:hint="eastAsia" w:cs="宋体" w:eastAsiaTheme="minorEastAsia"/>
                <w:kern w:val="0"/>
                <w:sz w:val="21"/>
                <w:szCs w:val="21"/>
              </w:rPr>
              <w:t>100.00%</w:t>
            </w:r>
          </w:p>
        </w:tc>
      </w:tr>
    </w:tbl>
    <w:p>
      <w:pPr>
        <w:widowControl/>
        <w:spacing w:beforeLines="0" w:line="240" w:lineRule="auto"/>
        <w:ind w:left="0" w:leftChars="0"/>
        <w:jc w:val="left"/>
      </w:pPr>
      <w:r>
        <w:rPr>
          <w:rFonts w:hint="eastAsia"/>
        </w:rPr>
        <w:t>注：2014年中心城区人口按70万人计，2030年中心城区人口按1</w:t>
      </w:r>
      <w:r>
        <w:t>32</w:t>
      </w:r>
      <w:r>
        <w:rPr>
          <w:rFonts w:hint="eastAsia"/>
        </w:rPr>
        <w:t>万人计。</w:t>
      </w:r>
    </w:p>
    <w:p>
      <w:pPr>
        <w:pStyle w:val="3"/>
        <w:spacing w:before="156" w:after="156"/>
        <w:rPr>
          <w:rFonts w:ascii="Arial" w:hAnsi="Arial"/>
        </w:rPr>
        <w:sectPr>
          <w:pgSz w:w="11906" w:h="16838"/>
          <w:pgMar w:top="1440" w:right="1800" w:bottom="1440" w:left="1800" w:header="851" w:footer="992" w:gutter="0"/>
          <w:cols w:space="425" w:num="1"/>
          <w:docGrid w:type="lines" w:linePitch="312" w:charSpace="0"/>
        </w:sectPr>
      </w:pPr>
    </w:p>
    <w:p>
      <w:pPr>
        <w:pStyle w:val="3"/>
        <w:spacing w:before="156" w:after="156"/>
        <w:rPr>
          <w:rFonts w:ascii="Arial" w:hAnsi="Arial"/>
        </w:rPr>
      </w:pPr>
      <w:bookmarkStart w:id="372" w:name="_Toc492850144"/>
      <w:r>
        <w:rPr>
          <w:rFonts w:hint="eastAsia" w:ascii="Arial" w:hAnsi="Arial"/>
        </w:rPr>
        <w:t>附表5：市域</w:t>
      </w:r>
      <w:r>
        <w:rPr>
          <w:rFonts w:ascii="Arial" w:hAnsi="Arial"/>
        </w:rPr>
        <w:t>国省干线公路规划一览表</w:t>
      </w:r>
      <w:bookmarkEnd w:id="372"/>
    </w:p>
    <w:tbl>
      <w:tblPr>
        <w:tblStyle w:val="56"/>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 w:val="center" w:pos="744"/>
              </w:tabs>
              <w:spacing w:beforeLines="0" w:line="0" w:lineRule="atLeast"/>
              <w:ind w:left="0" w:leftChars="0" w:firstLine="0" w:firstLineChars="0"/>
              <w:rPr>
                <w:b/>
                <w:sz w:val="21"/>
                <w:szCs w:val="21"/>
              </w:rPr>
            </w:pPr>
            <w:r>
              <w:rPr>
                <w:b/>
                <w:sz w:val="21"/>
                <w:szCs w:val="21"/>
              </w:rPr>
              <w:tab/>
            </w:r>
            <w:r>
              <w:rPr>
                <w:b/>
                <w:sz w:val="21"/>
                <w:szCs w:val="21"/>
              </w:rPr>
              <w:t>编码</w:t>
            </w:r>
          </w:p>
        </w:tc>
        <w:tc>
          <w:tcPr>
            <w:tcW w:w="2130" w:type="dxa"/>
          </w:tcPr>
          <w:p>
            <w:pPr>
              <w:tabs>
                <w:tab w:val="left" w:pos="0"/>
              </w:tabs>
              <w:spacing w:beforeLines="0" w:line="0" w:lineRule="atLeast"/>
              <w:ind w:left="0" w:leftChars="0" w:firstLine="0" w:firstLineChars="0"/>
              <w:rPr>
                <w:b/>
                <w:sz w:val="21"/>
                <w:szCs w:val="21"/>
              </w:rPr>
            </w:pPr>
            <w:r>
              <w:rPr>
                <w:b/>
                <w:sz w:val="21"/>
                <w:szCs w:val="21"/>
              </w:rPr>
              <w:t>路线名称</w:t>
            </w:r>
          </w:p>
        </w:tc>
        <w:tc>
          <w:tcPr>
            <w:tcW w:w="2131" w:type="dxa"/>
          </w:tcPr>
          <w:p>
            <w:pPr>
              <w:tabs>
                <w:tab w:val="left" w:pos="0"/>
              </w:tabs>
              <w:spacing w:beforeLines="0" w:line="0" w:lineRule="atLeast"/>
              <w:ind w:left="0" w:leftChars="0" w:firstLine="0" w:firstLineChars="0"/>
              <w:rPr>
                <w:b/>
                <w:sz w:val="21"/>
                <w:szCs w:val="21"/>
              </w:rPr>
            </w:pPr>
            <w:r>
              <w:rPr>
                <w:b/>
                <w:sz w:val="21"/>
                <w:szCs w:val="21"/>
              </w:rPr>
              <w:t>长度（千米）</w:t>
            </w:r>
          </w:p>
        </w:tc>
        <w:tc>
          <w:tcPr>
            <w:tcW w:w="2131" w:type="dxa"/>
          </w:tcPr>
          <w:p>
            <w:pPr>
              <w:tabs>
                <w:tab w:val="left" w:pos="0"/>
              </w:tabs>
              <w:spacing w:beforeLines="0" w:line="0" w:lineRule="atLeast"/>
              <w:ind w:left="0" w:leftChars="0" w:firstLine="0" w:firstLineChars="0"/>
              <w:rPr>
                <w:b/>
                <w:sz w:val="21"/>
                <w:szCs w:val="21"/>
              </w:rPr>
            </w:pPr>
            <w:r>
              <w:rPr>
                <w:b/>
                <w:sz w:val="21"/>
                <w:szCs w:val="21"/>
              </w:rPr>
              <w:t>途经县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22" w:type="dxa"/>
            <w:gridSpan w:val="4"/>
          </w:tcPr>
          <w:p>
            <w:pPr>
              <w:tabs>
                <w:tab w:val="left" w:pos="0"/>
              </w:tabs>
              <w:spacing w:beforeLines="0" w:line="0" w:lineRule="atLeast"/>
              <w:ind w:left="0" w:leftChars="0" w:firstLine="0" w:firstLineChars="0"/>
              <w:rPr>
                <w:b/>
                <w:sz w:val="21"/>
                <w:szCs w:val="21"/>
              </w:rPr>
            </w:pPr>
            <w:r>
              <w:rPr>
                <w:b/>
                <w:sz w:val="21"/>
                <w:szCs w:val="21"/>
              </w:rPr>
              <w:t>国道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G108</w:t>
            </w:r>
          </w:p>
        </w:tc>
        <w:tc>
          <w:tcPr>
            <w:tcW w:w="2130" w:type="dxa"/>
          </w:tcPr>
          <w:p>
            <w:pPr>
              <w:tabs>
                <w:tab w:val="left" w:pos="0"/>
              </w:tabs>
              <w:spacing w:beforeLines="0" w:line="0" w:lineRule="atLeast"/>
              <w:ind w:left="0" w:leftChars="0" w:firstLine="0" w:firstLineChars="0"/>
              <w:rPr>
                <w:sz w:val="21"/>
                <w:szCs w:val="21"/>
              </w:rPr>
            </w:pPr>
            <w:r>
              <w:rPr>
                <w:sz w:val="21"/>
                <w:szCs w:val="21"/>
              </w:rPr>
              <w:t>北京昆明线</w:t>
            </w:r>
          </w:p>
        </w:tc>
        <w:tc>
          <w:tcPr>
            <w:tcW w:w="2131" w:type="dxa"/>
          </w:tcPr>
          <w:p>
            <w:pPr>
              <w:tabs>
                <w:tab w:val="left" w:pos="0"/>
              </w:tabs>
              <w:spacing w:beforeLines="0" w:line="0" w:lineRule="atLeast"/>
              <w:ind w:left="0" w:leftChars="0" w:firstLine="0" w:firstLineChars="0"/>
              <w:rPr>
                <w:sz w:val="21"/>
                <w:szCs w:val="21"/>
              </w:rPr>
            </w:pPr>
            <w:r>
              <w:rPr>
                <w:sz w:val="21"/>
                <w:szCs w:val="21"/>
              </w:rPr>
              <w:t>183.921</w:t>
            </w:r>
          </w:p>
        </w:tc>
        <w:tc>
          <w:tcPr>
            <w:tcW w:w="2131" w:type="dxa"/>
          </w:tcPr>
          <w:p>
            <w:pPr>
              <w:tabs>
                <w:tab w:val="left" w:pos="0"/>
              </w:tabs>
              <w:spacing w:beforeLines="0" w:line="0" w:lineRule="atLeast"/>
              <w:ind w:left="0" w:leftChars="0" w:firstLine="0" w:firstLineChars="0"/>
              <w:rPr>
                <w:sz w:val="21"/>
                <w:szCs w:val="21"/>
              </w:rPr>
            </w:pPr>
            <w:r>
              <w:rPr>
                <w:sz w:val="21"/>
                <w:szCs w:val="21"/>
              </w:rPr>
              <w:t>榆次区、太谷县、祁县、平遥县、介休市、灵石县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G207</w:t>
            </w:r>
          </w:p>
        </w:tc>
        <w:tc>
          <w:tcPr>
            <w:tcW w:w="2130" w:type="dxa"/>
          </w:tcPr>
          <w:p>
            <w:pPr>
              <w:tabs>
                <w:tab w:val="left" w:pos="0"/>
              </w:tabs>
              <w:spacing w:beforeLines="0" w:line="0" w:lineRule="atLeast"/>
              <w:ind w:left="0" w:leftChars="0" w:firstLine="0" w:firstLineChars="0"/>
              <w:rPr>
                <w:sz w:val="21"/>
                <w:szCs w:val="21"/>
              </w:rPr>
            </w:pPr>
            <w:r>
              <w:rPr>
                <w:sz w:val="21"/>
                <w:szCs w:val="21"/>
              </w:rPr>
              <w:t>乌兰浩特海安线</w:t>
            </w:r>
          </w:p>
        </w:tc>
        <w:tc>
          <w:tcPr>
            <w:tcW w:w="2131" w:type="dxa"/>
          </w:tcPr>
          <w:p>
            <w:pPr>
              <w:tabs>
                <w:tab w:val="left" w:pos="0"/>
              </w:tabs>
              <w:spacing w:beforeLines="0" w:line="0" w:lineRule="atLeast"/>
              <w:ind w:left="0" w:leftChars="0" w:firstLine="0" w:firstLineChars="0"/>
              <w:rPr>
                <w:sz w:val="21"/>
                <w:szCs w:val="21"/>
              </w:rPr>
            </w:pPr>
            <w:r>
              <w:rPr>
                <w:sz w:val="21"/>
                <w:szCs w:val="21"/>
              </w:rPr>
              <w:t>123.457</w:t>
            </w:r>
          </w:p>
        </w:tc>
        <w:tc>
          <w:tcPr>
            <w:tcW w:w="2131" w:type="dxa"/>
          </w:tcPr>
          <w:p>
            <w:pPr>
              <w:tabs>
                <w:tab w:val="left" w:pos="0"/>
              </w:tabs>
              <w:spacing w:beforeLines="0" w:line="0" w:lineRule="atLeast"/>
              <w:ind w:left="0" w:leftChars="0" w:firstLine="0" w:firstLineChars="0"/>
              <w:rPr>
                <w:sz w:val="21"/>
                <w:szCs w:val="21"/>
              </w:rPr>
            </w:pPr>
            <w:r>
              <w:rPr>
                <w:sz w:val="21"/>
                <w:szCs w:val="21"/>
              </w:rPr>
              <w:t>昔阳县、和顺县、左权县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G208</w:t>
            </w:r>
          </w:p>
        </w:tc>
        <w:tc>
          <w:tcPr>
            <w:tcW w:w="2130" w:type="dxa"/>
          </w:tcPr>
          <w:p>
            <w:pPr>
              <w:tabs>
                <w:tab w:val="left" w:pos="0"/>
              </w:tabs>
              <w:spacing w:beforeLines="0" w:line="0" w:lineRule="atLeast"/>
              <w:ind w:left="0" w:leftChars="0" w:firstLine="0" w:firstLineChars="0"/>
              <w:rPr>
                <w:sz w:val="21"/>
                <w:szCs w:val="21"/>
              </w:rPr>
            </w:pPr>
            <w:r>
              <w:rPr>
                <w:sz w:val="21"/>
                <w:szCs w:val="21"/>
              </w:rPr>
              <w:t>二连浩特淅川线</w:t>
            </w:r>
          </w:p>
        </w:tc>
        <w:tc>
          <w:tcPr>
            <w:tcW w:w="2131" w:type="dxa"/>
          </w:tcPr>
          <w:p>
            <w:pPr>
              <w:tabs>
                <w:tab w:val="left" w:pos="0"/>
              </w:tabs>
              <w:spacing w:beforeLines="0" w:line="0" w:lineRule="atLeast"/>
              <w:ind w:left="0" w:leftChars="0" w:firstLine="0" w:firstLineChars="0"/>
              <w:rPr>
                <w:sz w:val="21"/>
                <w:szCs w:val="21"/>
              </w:rPr>
            </w:pPr>
            <w:r>
              <w:rPr>
                <w:sz w:val="21"/>
                <w:szCs w:val="21"/>
              </w:rPr>
              <w:t>43.832</w:t>
            </w:r>
          </w:p>
        </w:tc>
        <w:tc>
          <w:tcPr>
            <w:tcW w:w="2131" w:type="dxa"/>
          </w:tcPr>
          <w:p>
            <w:pPr>
              <w:tabs>
                <w:tab w:val="left" w:pos="0"/>
              </w:tabs>
              <w:spacing w:beforeLines="0" w:line="0" w:lineRule="atLeast"/>
              <w:ind w:left="0" w:leftChars="0" w:firstLine="0" w:firstLineChars="0"/>
              <w:rPr>
                <w:sz w:val="21"/>
                <w:szCs w:val="21"/>
              </w:rPr>
            </w:pPr>
            <w:r>
              <w:rPr>
                <w:sz w:val="21"/>
                <w:szCs w:val="21"/>
              </w:rPr>
              <w:t>祁县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G307</w:t>
            </w:r>
          </w:p>
        </w:tc>
        <w:tc>
          <w:tcPr>
            <w:tcW w:w="2130" w:type="dxa"/>
          </w:tcPr>
          <w:p>
            <w:pPr>
              <w:tabs>
                <w:tab w:val="left" w:pos="0"/>
              </w:tabs>
              <w:spacing w:beforeLines="0" w:line="0" w:lineRule="atLeast"/>
              <w:ind w:left="0" w:leftChars="0" w:firstLine="0" w:firstLineChars="0"/>
              <w:rPr>
                <w:sz w:val="21"/>
                <w:szCs w:val="21"/>
              </w:rPr>
            </w:pPr>
            <w:r>
              <w:rPr>
                <w:sz w:val="21"/>
                <w:szCs w:val="21"/>
              </w:rPr>
              <w:t>黄骅山丹线</w:t>
            </w:r>
          </w:p>
        </w:tc>
        <w:tc>
          <w:tcPr>
            <w:tcW w:w="2131" w:type="dxa"/>
          </w:tcPr>
          <w:p>
            <w:pPr>
              <w:tabs>
                <w:tab w:val="left" w:pos="0"/>
              </w:tabs>
              <w:spacing w:beforeLines="0" w:line="0" w:lineRule="atLeast"/>
              <w:ind w:left="0" w:leftChars="0" w:firstLine="0" w:firstLineChars="0"/>
              <w:rPr>
                <w:sz w:val="21"/>
                <w:szCs w:val="21"/>
              </w:rPr>
            </w:pPr>
            <w:r>
              <w:rPr>
                <w:sz w:val="21"/>
                <w:szCs w:val="21"/>
              </w:rPr>
              <w:t>62.311</w:t>
            </w:r>
          </w:p>
        </w:tc>
        <w:tc>
          <w:tcPr>
            <w:tcW w:w="2131" w:type="dxa"/>
          </w:tcPr>
          <w:p>
            <w:pPr>
              <w:tabs>
                <w:tab w:val="left" w:pos="0"/>
              </w:tabs>
              <w:spacing w:beforeLines="0" w:line="0" w:lineRule="atLeast"/>
              <w:ind w:left="0" w:leftChars="0" w:firstLine="0" w:firstLineChars="0"/>
              <w:rPr>
                <w:sz w:val="21"/>
                <w:szCs w:val="21"/>
              </w:rPr>
            </w:pPr>
            <w:r>
              <w:rPr>
                <w:sz w:val="21"/>
                <w:szCs w:val="21"/>
              </w:rPr>
              <w:t>寿阳县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G339</w:t>
            </w:r>
          </w:p>
        </w:tc>
        <w:tc>
          <w:tcPr>
            <w:tcW w:w="2130" w:type="dxa"/>
          </w:tcPr>
          <w:p>
            <w:pPr>
              <w:tabs>
                <w:tab w:val="left" w:pos="0"/>
              </w:tabs>
              <w:spacing w:beforeLines="0" w:line="0" w:lineRule="atLeast"/>
              <w:ind w:left="0" w:leftChars="0" w:firstLine="0" w:firstLineChars="0"/>
              <w:rPr>
                <w:sz w:val="21"/>
                <w:szCs w:val="21"/>
              </w:rPr>
            </w:pPr>
            <w:r>
              <w:rPr>
                <w:sz w:val="21"/>
                <w:szCs w:val="21"/>
              </w:rPr>
              <w:t>滨州港榆林线</w:t>
            </w:r>
          </w:p>
        </w:tc>
        <w:tc>
          <w:tcPr>
            <w:tcW w:w="2131" w:type="dxa"/>
          </w:tcPr>
          <w:p>
            <w:pPr>
              <w:tabs>
                <w:tab w:val="left" w:pos="0"/>
              </w:tabs>
              <w:spacing w:beforeLines="0" w:line="0" w:lineRule="atLeast"/>
              <w:ind w:left="0" w:leftChars="0" w:firstLine="0" w:firstLineChars="0"/>
              <w:rPr>
                <w:sz w:val="21"/>
                <w:szCs w:val="21"/>
              </w:rPr>
            </w:pPr>
            <w:r>
              <w:rPr>
                <w:sz w:val="21"/>
                <w:szCs w:val="21"/>
              </w:rPr>
              <w:t>187.177</w:t>
            </w:r>
          </w:p>
        </w:tc>
        <w:tc>
          <w:tcPr>
            <w:tcW w:w="2131" w:type="dxa"/>
          </w:tcPr>
          <w:p>
            <w:pPr>
              <w:tabs>
                <w:tab w:val="left" w:pos="0"/>
              </w:tabs>
              <w:spacing w:beforeLines="0" w:line="0" w:lineRule="atLeast"/>
              <w:ind w:left="0" w:leftChars="0" w:firstLine="0" w:firstLineChars="0"/>
              <w:rPr>
                <w:sz w:val="21"/>
                <w:szCs w:val="21"/>
              </w:rPr>
            </w:pPr>
            <w:r>
              <w:rPr>
                <w:sz w:val="21"/>
                <w:szCs w:val="21"/>
              </w:rPr>
              <w:t>昔阳县、寿阳县、榆次区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G340</w:t>
            </w:r>
          </w:p>
        </w:tc>
        <w:tc>
          <w:tcPr>
            <w:tcW w:w="2130" w:type="dxa"/>
          </w:tcPr>
          <w:p>
            <w:pPr>
              <w:tabs>
                <w:tab w:val="left" w:pos="0"/>
              </w:tabs>
              <w:spacing w:beforeLines="0" w:line="0" w:lineRule="atLeast"/>
              <w:ind w:left="0" w:leftChars="0" w:firstLine="0" w:firstLineChars="0"/>
              <w:rPr>
                <w:sz w:val="21"/>
                <w:szCs w:val="21"/>
              </w:rPr>
            </w:pPr>
            <w:r>
              <w:rPr>
                <w:sz w:val="21"/>
                <w:szCs w:val="21"/>
              </w:rPr>
              <w:t>东营港子长线</w:t>
            </w:r>
          </w:p>
        </w:tc>
        <w:tc>
          <w:tcPr>
            <w:tcW w:w="2131" w:type="dxa"/>
          </w:tcPr>
          <w:p>
            <w:pPr>
              <w:tabs>
                <w:tab w:val="left" w:pos="0"/>
              </w:tabs>
              <w:spacing w:beforeLines="0" w:line="0" w:lineRule="atLeast"/>
              <w:ind w:left="0" w:leftChars="0" w:firstLine="0" w:firstLineChars="0"/>
              <w:rPr>
                <w:sz w:val="21"/>
                <w:szCs w:val="21"/>
              </w:rPr>
            </w:pPr>
            <w:r>
              <w:rPr>
                <w:sz w:val="21"/>
                <w:szCs w:val="21"/>
              </w:rPr>
              <w:t>249.079</w:t>
            </w:r>
          </w:p>
        </w:tc>
        <w:tc>
          <w:tcPr>
            <w:tcW w:w="2131" w:type="dxa"/>
          </w:tcPr>
          <w:p>
            <w:pPr>
              <w:tabs>
                <w:tab w:val="left" w:pos="0"/>
              </w:tabs>
              <w:spacing w:beforeLines="0" w:line="0" w:lineRule="atLeast"/>
              <w:ind w:left="0" w:leftChars="0" w:firstLine="0" w:firstLineChars="0"/>
              <w:rPr>
                <w:sz w:val="21"/>
                <w:szCs w:val="21"/>
              </w:rPr>
            </w:pPr>
            <w:r>
              <w:rPr>
                <w:sz w:val="21"/>
                <w:szCs w:val="21"/>
              </w:rPr>
              <w:t>左权县、榆社县、太谷县、祁县、平遥县、介休市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G241</w:t>
            </w:r>
          </w:p>
        </w:tc>
        <w:tc>
          <w:tcPr>
            <w:tcW w:w="2130" w:type="dxa"/>
          </w:tcPr>
          <w:p>
            <w:pPr>
              <w:tabs>
                <w:tab w:val="left" w:pos="0"/>
              </w:tabs>
              <w:spacing w:beforeLines="0" w:line="0" w:lineRule="atLeast"/>
              <w:ind w:left="0" w:leftChars="0" w:firstLine="0" w:firstLineChars="0"/>
              <w:rPr>
                <w:sz w:val="21"/>
                <w:szCs w:val="21"/>
              </w:rPr>
            </w:pPr>
            <w:r>
              <w:rPr>
                <w:sz w:val="21"/>
                <w:szCs w:val="21"/>
              </w:rPr>
              <w:t>呼和浩特北海线</w:t>
            </w:r>
          </w:p>
        </w:tc>
        <w:tc>
          <w:tcPr>
            <w:tcW w:w="2131" w:type="dxa"/>
          </w:tcPr>
          <w:p>
            <w:pPr>
              <w:tabs>
                <w:tab w:val="left" w:pos="0"/>
              </w:tabs>
              <w:spacing w:beforeLines="0" w:line="0" w:lineRule="atLeast"/>
              <w:ind w:left="0" w:leftChars="0" w:firstLine="0" w:firstLineChars="0"/>
              <w:rPr>
                <w:sz w:val="21"/>
                <w:szCs w:val="21"/>
              </w:rPr>
            </w:pPr>
            <w:r>
              <w:rPr>
                <w:sz w:val="21"/>
                <w:szCs w:val="21"/>
              </w:rPr>
              <w:t>32.523</w:t>
            </w:r>
          </w:p>
        </w:tc>
        <w:tc>
          <w:tcPr>
            <w:tcW w:w="2131" w:type="dxa"/>
          </w:tcPr>
          <w:p>
            <w:pPr>
              <w:tabs>
                <w:tab w:val="left" w:pos="0"/>
              </w:tabs>
              <w:spacing w:beforeLines="0" w:line="0" w:lineRule="atLeast"/>
              <w:ind w:left="0" w:leftChars="0" w:firstLine="0" w:firstLineChars="0"/>
              <w:rPr>
                <w:sz w:val="21"/>
                <w:szCs w:val="21"/>
              </w:rPr>
            </w:pPr>
            <w:r>
              <w:rPr>
                <w:sz w:val="21"/>
                <w:szCs w:val="21"/>
              </w:rPr>
              <w:t>平遥县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G519</w:t>
            </w:r>
          </w:p>
        </w:tc>
        <w:tc>
          <w:tcPr>
            <w:tcW w:w="2130" w:type="dxa"/>
          </w:tcPr>
          <w:p>
            <w:pPr>
              <w:tabs>
                <w:tab w:val="left" w:pos="0"/>
              </w:tabs>
              <w:spacing w:beforeLines="0" w:line="0" w:lineRule="atLeast"/>
              <w:ind w:left="0" w:leftChars="0" w:firstLine="0" w:firstLineChars="0"/>
              <w:rPr>
                <w:sz w:val="21"/>
                <w:szCs w:val="21"/>
              </w:rPr>
            </w:pPr>
            <w:r>
              <w:rPr>
                <w:sz w:val="21"/>
                <w:szCs w:val="21"/>
              </w:rPr>
              <w:t>榆社潞城线</w:t>
            </w:r>
          </w:p>
        </w:tc>
        <w:tc>
          <w:tcPr>
            <w:tcW w:w="2131" w:type="dxa"/>
          </w:tcPr>
          <w:p>
            <w:pPr>
              <w:tabs>
                <w:tab w:val="left" w:pos="0"/>
              </w:tabs>
              <w:spacing w:beforeLines="0" w:line="0" w:lineRule="atLeast"/>
              <w:ind w:left="0" w:leftChars="0" w:firstLine="0" w:firstLineChars="0"/>
              <w:rPr>
                <w:sz w:val="21"/>
                <w:szCs w:val="21"/>
              </w:rPr>
            </w:pPr>
            <w:r>
              <w:rPr>
                <w:sz w:val="21"/>
                <w:szCs w:val="21"/>
              </w:rPr>
              <w:t>19.759</w:t>
            </w:r>
          </w:p>
        </w:tc>
        <w:tc>
          <w:tcPr>
            <w:tcW w:w="2131" w:type="dxa"/>
          </w:tcPr>
          <w:p>
            <w:pPr>
              <w:tabs>
                <w:tab w:val="left" w:pos="0"/>
              </w:tabs>
              <w:spacing w:beforeLines="0" w:line="0" w:lineRule="atLeast"/>
              <w:ind w:left="0" w:leftChars="0" w:firstLine="0" w:firstLineChars="0"/>
              <w:rPr>
                <w:sz w:val="21"/>
                <w:szCs w:val="21"/>
              </w:rPr>
            </w:pPr>
            <w:r>
              <w:rPr>
                <w:sz w:val="21"/>
                <w:szCs w:val="21"/>
              </w:rPr>
              <w:t>榆社县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22" w:type="dxa"/>
            <w:gridSpan w:val="4"/>
          </w:tcPr>
          <w:p>
            <w:pPr>
              <w:tabs>
                <w:tab w:val="left" w:pos="0"/>
              </w:tabs>
              <w:spacing w:beforeLines="0" w:line="0" w:lineRule="atLeast"/>
              <w:ind w:left="0" w:leftChars="0" w:firstLine="0" w:firstLineChars="0"/>
              <w:rPr>
                <w:b/>
                <w:sz w:val="21"/>
                <w:szCs w:val="21"/>
              </w:rPr>
            </w:pPr>
            <w:r>
              <w:rPr>
                <w:b/>
                <w:sz w:val="21"/>
                <w:szCs w:val="21"/>
              </w:rPr>
              <w:t>主要省道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纵线一</w:t>
            </w:r>
          </w:p>
        </w:tc>
        <w:tc>
          <w:tcPr>
            <w:tcW w:w="2130" w:type="dxa"/>
          </w:tcPr>
          <w:p>
            <w:pPr>
              <w:tabs>
                <w:tab w:val="left" w:pos="0"/>
              </w:tabs>
              <w:spacing w:beforeLines="0" w:line="0" w:lineRule="atLeast"/>
              <w:ind w:left="0" w:leftChars="0" w:firstLine="0" w:firstLineChars="0"/>
              <w:rPr>
                <w:sz w:val="21"/>
                <w:szCs w:val="21"/>
              </w:rPr>
            </w:pPr>
            <w:r>
              <w:rPr>
                <w:sz w:val="21"/>
                <w:szCs w:val="21"/>
              </w:rPr>
              <w:t>太原-长治线</w:t>
            </w:r>
          </w:p>
        </w:tc>
        <w:tc>
          <w:tcPr>
            <w:tcW w:w="2131" w:type="dxa"/>
          </w:tcPr>
          <w:p>
            <w:pPr>
              <w:tabs>
                <w:tab w:val="left" w:pos="0"/>
              </w:tabs>
              <w:spacing w:beforeLines="0" w:line="0" w:lineRule="atLeast"/>
              <w:ind w:left="0" w:leftChars="0" w:firstLine="0" w:firstLineChars="0"/>
              <w:rPr>
                <w:sz w:val="21"/>
                <w:szCs w:val="21"/>
              </w:rPr>
            </w:pPr>
            <w:r>
              <w:rPr>
                <w:sz w:val="21"/>
                <w:szCs w:val="21"/>
              </w:rPr>
              <w:t>89.648</w:t>
            </w:r>
          </w:p>
        </w:tc>
        <w:tc>
          <w:tcPr>
            <w:tcW w:w="2131" w:type="dxa"/>
          </w:tcPr>
          <w:p>
            <w:pPr>
              <w:tabs>
                <w:tab w:val="left" w:pos="0"/>
              </w:tabs>
              <w:spacing w:beforeLines="0" w:line="0" w:lineRule="atLeast"/>
              <w:ind w:left="0" w:leftChars="0" w:firstLine="0" w:firstLineChars="0"/>
              <w:rPr>
                <w:sz w:val="21"/>
                <w:szCs w:val="21"/>
              </w:rPr>
            </w:pPr>
            <w:r>
              <w:rPr>
                <w:sz w:val="21"/>
                <w:szCs w:val="21"/>
              </w:rPr>
              <w:t>秋村（太原晋中界）-榆社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横线一</w:t>
            </w:r>
          </w:p>
        </w:tc>
        <w:tc>
          <w:tcPr>
            <w:tcW w:w="2130" w:type="dxa"/>
          </w:tcPr>
          <w:p>
            <w:pPr>
              <w:tabs>
                <w:tab w:val="left" w:pos="0"/>
              </w:tabs>
              <w:spacing w:beforeLines="0" w:line="0" w:lineRule="atLeast"/>
              <w:ind w:left="0" w:leftChars="0" w:firstLine="0" w:firstLineChars="0"/>
              <w:rPr>
                <w:sz w:val="21"/>
                <w:szCs w:val="21"/>
              </w:rPr>
            </w:pPr>
            <w:r>
              <w:rPr>
                <w:sz w:val="21"/>
                <w:szCs w:val="21"/>
              </w:rPr>
              <w:t>太谷-太原线</w:t>
            </w:r>
          </w:p>
        </w:tc>
        <w:tc>
          <w:tcPr>
            <w:tcW w:w="2131" w:type="dxa"/>
          </w:tcPr>
          <w:p>
            <w:pPr>
              <w:tabs>
                <w:tab w:val="left" w:pos="0"/>
              </w:tabs>
              <w:spacing w:beforeLines="0" w:line="0" w:lineRule="atLeast"/>
              <w:ind w:left="0" w:leftChars="0" w:firstLine="0" w:firstLineChars="0"/>
              <w:rPr>
                <w:sz w:val="21"/>
                <w:szCs w:val="21"/>
              </w:rPr>
            </w:pPr>
            <w:r>
              <w:rPr>
                <w:sz w:val="21"/>
                <w:szCs w:val="21"/>
              </w:rPr>
              <w:t>9.279</w:t>
            </w:r>
          </w:p>
        </w:tc>
        <w:tc>
          <w:tcPr>
            <w:tcW w:w="2131" w:type="dxa"/>
          </w:tcPr>
          <w:p>
            <w:pPr>
              <w:tabs>
                <w:tab w:val="left" w:pos="0"/>
              </w:tabs>
              <w:spacing w:beforeLines="0" w:line="0" w:lineRule="atLeast"/>
              <w:ind w:left="0" w:leftChars="0" w:firstLine="0" w:firstLineChars="0"/>
              <w:rPr>
                <w:sz w:val="21"/>
                <w:szCs w:val="21"/>
              </w:rPr>
            </w:pPr>
            <w:r>
              <w:rPr>
                <w:sz w:val="21"/>
                <w:szCs w:val="21"/>
              </w:rPr>
              <w:t>太谷城-张家庄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纵线二</w:t>
            </w:r>
          </w:p>
        </w:tc>
        <w:tc>
          <w:tcPr>
            <w:tcW w:w="2130" w:type="dxa"/>
          </w:tcPr>
          <w:p>
            <w:pPr>
              <w:tabs>
                <w:tab w:val="left" w:pos="0"/>
              </w:tabs>
              <w:spacing w:beforeLines="0" w:line="0" w:lineRule="atLeast"/>
              <w:ind w:left="0" w:leftChars="0" w:firstLine="0" w:firstLineChars="0"/>
              <w:rPr>
                <w:sz w:val="21"/>
                <w:szCs w:val="21"/>
              </w:rPr>
            </w:pPr>
            <w:r>
              <w:rPr>
                <w:sz w:val="21"/>
                <w:szCs w:val="21"/>
              </w:rPr>
              <w:t>盂县-榆次线</w:t>
            </w:r>
          </w:p>
        </w:tc>
        <w:tc>
          <w:tcPr>
            <w:tcW w:w="2131" w:type="dxa"/>
          </w:tcPr>
          <w:p>
            <w:pPr>
              <w:tabs>
                <w:tab w:val="left" w:pos="0"/>
              </w:tabs>
              <w:spacing w:beforeLines="0" w:line="0" w:lineRule="atLeast"/>
              <w:ind w:left="0" w:leftChars="0" w:firstLine="0" w:firstLineChars="0"/>
              <w:rPr>
                <w:sz w:val="21"/>
                <w:szCs w:val="21"/>
              </w:rPr>
            </w:pPr>
            <w:r>
              <w:rPr>
                <w:sz w:val="21"/>
                <w:szCs w:val="21"/>
              </w:rPr>
              <w:t>67.499</w:t>
            </w:r>
          </w:p>
        </w:tc>
        <w:tc>
          <w:tcPr>
            <w:tcW w:w="2131" w:type="dxa"/>
          </w:tcPr>
          <w:p>
            <w:pPr>
              <w:tabs>
                <w:tab w:val="left" w:pos="0"/>
              </w:tabs>
              <w:spacing w:beforeLines="0" w:line="0" w:lineRule="atLeast"/>
              <w:ind w:left="0" w:leftChars="0" w:firstLine="0" w:firstLineChars="0"/>
              <w:rPr>
                <w:sz w:val="21"/>
                <w:szCs w:val="21"/>
              </w:rPr>
            </w:pPr>
            <w:r>
              <w:rPr>
                <w:sz w:val="21"/>
                <w:szCs w:val="21"/>
              </w:rPr>
              <w:t>胡家庄（阳泉晋中界）-榆次王湖村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纵线三</w:t>
            </w:r>
          </w:p>
        </w:tc>
        <w:tc>
          <w:tcPr>
            <w:tcW w:w="2130" w:type="dxa"/>
          </w:tcPr>
          <w:p>
            <w:pPr>
              <w:tabs>
                <w:tab w:val="left" w:pos="0"/>
              </w:tabs>
              <w:spacing w:beforeLines="0" w:line="0" w:lineRule="atLeast"/>
              <w:ind w:left="0" w:leftChars="0" w:firstLine="0" w:firstLineChars="0"/>
              <w:rPr>
                <w:sz w:val="21"/>
                <w:szCs w:val="21"/>
              </w:rPr>
            </w:pPr>
            <w:r>
              <w:rPr>
                <w:sz w:val="21"/>
                <w:szCs w:val="21"/>
              </w:rPr>
              <w:t>东观-夏门线</w:t>
            </w:r>
          </w:p>
        </w:tc>
        <w:tc>
          <w:tcPr>
            <w:tcW w:w="2131" w:type="dxa"/>
          </w:tcPr>
          <w:p>
            <w:pPr>
              <w:tabs>
                <w:tab w:val="left" w:pos="0"/>
              </w:tabs>
              <w:spacing w:beforeLines="0" w:line="0" w:lineRule="atLeast"/>
              <w:ind w:left="0" w:leftChars="0" w:firstLine="0" w:firstLineChars="0"/>
              <w:rPr>
                <w:sz w:val="21"/>
                <w:szCs w:val="21"/>
              </w:rPr>
            </w:pPr>
            <w:r>
              <w:rPr>
                <w:sz w:val="21"/>
                <w:szCs w:val="21"/>
              </w:rPr>
              <w:t>64.906</w:t>
            </w:r>
          </w:p>
        </w:tc>
        <w:tc>
          <w:tcPr>
            <w:tcW w:w="2131" w:type="dxa"/>
          </w:tcPr>
          <w:p>
            <w:pPr>
              <w:tabs>
                <w:tab w:val="left" w:pos="0"/>
              </w:tabs>
              <w:spacing w:beforeLines="0" w:line="0" w:lineRule="atLeast"/>
              <w:ind w:left="0" w:leftChars="0" w:firstLine="0" w:firstLineChars="0"/>
              <w:rPr>
                <w:sz w:val="21"/>
                <w:szCs w:val="21"/>
              </w:rPr>
            </w:pPr>
            <w:r>
              <w:rPr>
                <w:sz w:val="21"/>
                <w:szCs w:val="21"/>
              </w:rPr>
              <w:t>东观（祁县）-木瓜曲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横线二</w:t>
            </w:r>
          </w:p>
        </w:tc>
        <w:tc>
          <w:tcPr>
            <w:tcW w:w="2130" w:type="dxa"/>
          </w:tcPr>
          <w:p>
            <w:pPr>
              <w:tabs>
                <w:tab w:val="left" w:pos="0"/>
              </w:tabs>
              <w:spacing w:beforeLines="0" w:line="0" w:lineRule="atLeast"/>
              <w:ind w:left="0" w:leftChars="0" w:firstLine="0" w:firstLineChars="0"/>
              <w:rPr>
                <w:sz w:val="21"/>
                <w:szCs w:val="21"/>
              </w:rPr>
            </w:pPr>
            <w:r>
              <w:rPr>
                <w:sz w:val="21"/>
                <w:szCs w:val="21"/>
              </w:rPr>
              <w:t>汾阳-张兰线</w:t>
            </w:r>
          </w:p>
        </w:tc>
        <w:tc>
          <w:tcPr>
            <w:tcW w:w="2131" w:type="dxa"/>
          </w:tcPr>
          <w:p>
            <w:pPr>
              <w:tabs>
                <w:tab w:val="left" w:pos="0"/>
              </w:tabs>
              <w:spacing w:beforeLines="0" w:line="0" w:lineRule="atLeast"/>
              <w:ind w:left="0" w:leftChars="0" w:firstLine="0" w:firstLineChars="0"/>
              <w:rPr>
                <w:sz w:val="21"/>
                <w:szCs w:val="21"/>
              </w:rPr>
            </w:pPr>
            <w:r>
              <w:rPr>
                <w:sz w:val="21"/>
                <w:szCs w:val="21"/>
              </w:rPr>
              <w:t>14.647</w:t>
            </w:r>
          </w:p>
        </w:tc>
        <w:tc>
          <w:tcPr>
            <w:tcW w:w="2131" w:type="dxa"/>
          </w:tcPr>
          <w:p>
            <w:pPr>
              <w:tabs>
                <w:tab w:val="left" w:pos="0"/>
              </w:tabs>
              <w:spacing w:beforeLines="0" w:line="0" w:lineRule="atLeast"/>
              <w:ind w:left="0" w:leftChars="0" w:firstLine="0" w:firstLineChars="0"/>
              <w:rPr>
                <w:sz w:val="21"/>
                <w:szCs w:val="21"/>
              </w:rPr>
            </w:pPr>
            <w:r>
              <w:rPr>
                <w:sz w:val="21"/>
                <w:szCs w:val="21"/>
              </w:rPr>
              <w:t>穆家堡-岳家湾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横线三</w:t>
            </w:r>
          </w:p>
        </w:tc>
        <w:tc>
          <w:tcPr>
            <w:tcW w:w="2130" w:type="dxa"/>
          </w:tcPr>
          <w:p>
            <w:pPr>
              <w:tabs>
                <w:tab w:val="left" w:pos="0"/>
              </w:tabs>
              <w:spacing w:beforeLines="0" w:line="0" w:lineRule="atLeast"/>
              <w:ind w:left="0" w:leftChars="0" w:firstLine="0" w:firstLineChars="0"/>
              <w:rPr>
                <w:sz w:val="21"/>
                <w:szCs w:val="21"/>
              </w:rPr>
            </w:pPr>
            <w:r>
              <w:rPr>
                <w:sz w:val="21"/>
                <w:szCs w:val="21"/>
              </w:rPr>
              <w:t>董坪沟-榆次线</w:t>
            </w:r>
          </w:p>
        </w:tc>
        <w:tc>
          <w:tcPr>
            <w:tcW w:w="2131" w:type="dxa"/>
          </w:tcPr>
          <w:p>
            <w:pPr>
              <w:tabs>
                <w:tab w:val="left" w:pos="0"/>
              </w:tabs>
              <w:spacing w:beforeLines="0" w:line="0" w:lineRule="atLeast"/>
              <w:ind w:left="0" w:leftChars="0" w:firstLine="0" w:firstLineChars="0"/>
              <w:rPr>
                <w:sz w:val="21"/>
                <w:szCs w:val="21"/>
              </w:rPr>
            </w:pPr>
            <w:r>
              <w:rPr>
                <w:sz w:val="21"/>
                <w:szCs w:val="21"/>
              </w:rPr>
              <w:t>160.624</w:t>
            </w:r>
          </w:p>
        </w:tc>
        <w:tc>
          <w:tcPr>
            <w:tcW w:w="2131" w:type="dxa"/>
          </w:tcPr>
          <w:p>
            <w:pPr>
              <w:tabs>
                <w:tab w:val="left" w:pos="0"/>
              </w:tabs>
              <w:spacing w:beforeLines="0" w:line="0" w:lineRule="atLeast"/>
              <w:ind w:left="0" w:leftChars="0" w:firstLine="0" w:firstLineChars="0"/>
              <w:rPr>
                <w:sz w:val="21"/>
                <w:szCs w:val="21"/>
              </w:rPr>
            </w:pPr>
            <w:r>
              <w:rPr>
                <w:sz w:val="21"/>
                <w:szCs w:val="21"/>
              </w:rPr>
              <w:t>董坪沟（晋冀界）-榆次源涡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横线四</w:t>
            </w:r>
          </w:p>
        </w:tc>
        <w:tc>
          <w:tcPr>
            <w:tcW w:w="2130" w:type="dxa"/>
          </w:tcPr>
          <w:p>
            <w:pPr>
              <w:tabs>
                <w:tab w:val="left" w:pos="0"/>
              </w:tabs>
              <w:spacing w:beforeLines="0" w:line="0" w:lineRule="atLeast"/>
              <w:ind w:left="0" w:leftChars="0" w:firstLine="0" w:firstLineChars="0"/>
              <w:rPr>
                <w:sz w:val="21"/>
                <w:szCs w:val="21"/>
              </w:rPr>
            </w:pPr>
            <w:r>
              <w:rPr>
                <w:sz w:val="21"/>
                <w:szCs w:val="21"/>
              </w:rPr>
              <w:t>祁县-方山线</w:t>
            </w:r>
          </w:p>
        </w:tc>
        <w:tc>
          <w:tcPr>
            <w:tcW w:w="2131" w:type="dxa"/>
          </w:tcPr>
          <w:p>
            <w:pPr>
              <w:tabs>
                <w:tab w:val="left" w:pos="0"/>
              </w:tabs>
              <w:spacing w:beforeLines="0" w:line="0" w:lineRule="atLeast"/>
              <w:ind w:left="0" w:leftChars="0" w:firstLine="0" w:firstLineChars="0"/>
              <w:rPr>
                <w:sz w:val="21"/>
                <w:szCs w:val="21"/>
              </w:rPr>
            </w:pPr>
            <w:r>
              <w:rPr>
                <w:sz w:val="21"/>
                <w:szCs w:val="21"/>
              </w:rPr>
              <w:t>8.398</w:t>
            </w:r>
          </w:p>
        </w:tc>
        <w:tc>
          <w:tcPr>
            <w:tcW w:w="2131" w:type="dxa"/>
          </w:tcPr>
          <w:p>
            <w:pPr>
              <w:tabs>
                <w:tab w:val="left" w:pos="0"/>
              </w:tabs>
              <w:spacing w:beforeLines="0" w:line="0" w:lineRule="atLeast"/>
              <w:ind w:left="0" w:leftChars="0" w:firstLine="0" w:firstLineChars="0"/>
              <w:rPr>
                <w:sz w:val="21"/>
                <w:szCs w:val="21"/>
              </w:rPr>
            </w:pPr>
            <w:r>
              <w:rPr>
                <w:sz w:val="21"/>
                <w:szCs w:val="21"/>
              </w:rPr>
              <w:t>西关-固邑村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130" w:type="dxa"/>
          </w:tcPr>
          <w:p>
            <w:pPr>
              <w:tabs>
                <w:tab w:val="left" w:pos="0"/>
              </w:tabs>
              <w:spacing w:beforeLines="0" w:line="0" w:lineRule="atLeast"/>
              <w:ind w:left="0" w:leftChars="0" w:firstLine="0" w:firstLineChars="0"/>
              <w:rPr>
                <w:sz w:val="21"/>
                <w:szCs w:val="21"/>
              </w:rPr>
            </w:pPr>
            <w:r>
              <w:rPr>
                <w:sz w:val="21"/>
                <w:szCs w:val="21"/>
              </w:rPr>
              <w:t>横线五</w:t>
            </w:r>
          </w:p>
        </w:tc>
        <w:tc>
          <w:tcPr>
            <w:tcW w:w="2130" w:type="dxa"/>
          </w:tcPr>
          <w:p>
            <w:pPr>
              <w:tabs>
                <w:tab w:val="left" w:pos="0"/>
              </w:tabs>
              <w:spacing w:beforeLines="0" w:line="0" w:lineRule="atLeast"/>
              <w:ind w:left="0" w:leftChars="0" w:firstLine="0" w:firstLineChars="0"/>
              <w:rPr>
                <w:sz w:val="21"/>
                <w:szCs w:val="21"/>
              </w:rPr>
            </w:pPr>
            <w:r>
              <w:rPr>
                <w:sz w:val="21"/>
                <w:szCs w:val="21"/>
              </w:rPr>
              <w:t>南岭-沁源线</w:t>
            </w:r>
          </w:p>
        </w:tc>
        <w:tc>
          <w:tcPr>
            <w:tcW w:w="2131" w:type="dxa"/>
          </w:tcPr>
          <w:p>
            <w:pPr>
              <w:tabs>
                <w:tab w:val="left" w:pos="0"/>
              </w:tabs>
              <w:spacing w:beforeLines="0" w:line="0" w:lineRule="atLeast"/>
              <w:ind w:left="0" w:leftChars="0" w:firstLine="0" w:firstLineChars="0"/>
              <w:rPr>
                <w:sz w:val="21"/>
                <w:szCs w:val="21"/>
              </w:rPr>
            </w:pPr>
            <w:r>
              <w:rPr>
                <w:sz w:val="21"/>
                <w:szCs w:val="21"/>
              </w:rPr>
              <w:t>38.938</w:t>
            </w:r>
          </w:p>
        </w:tc>
        <w:tc>
          <w:tcPr>
            <w:tcW w:w="2131" w:type="dxa"/>
          </w:tcPr>
          <w:p>
            <w:pPr>
              <w:tabs>
                <w:tab w:val="left" w:pos="0"/>
              </w:tabs>
              <w:spacing w:beforeLines="0" w:line="0" w:lineRule="atLeast"/>
              <w:ind w:left="0" w:leftChars="0" w:firstLine="0" w:firstLineChars="0"/>
              <w:rPr>
                <w:sz w:val="21"/>
                <w:szCs w:val="21"/>
              </w:rPr>
            </w:pPr>
            <w:r>
              <w:rPr>
                <w:sz w:val="21"/>
                <w:szCs w:val="21"/>
              </w:rPr>
              <w:t>清泉（晋冀界）-南岭</w:t>
            </w:r>
          </w:p>
        </w:tc>
      </w:tr>
    </w:tbl>
    <w:p>
      <w:pPr>
        <w:pStyle w:val="3"/>
        <w:spacing w:before="156" w:after="156"/>
        <w:rPr>
          <w:rFonts w:ascii="Arial" w:hAnsi="Arial"/>
        </w:rPr>
        <w:sectPr>
          <w:pgSz w:w="11906" w:h="16838"/>
          <w:pgMar w:top="1440" w:right="1800" w:bottom="1440" w:left="1800" w:header="851" w:footer="992" w:gutter="0"/>
          <w:cols w:space="425" w:num="1"/>
          <w:docGrid w:type="lines" w:linePitch="312" w:charSpace="0"/>
        </w:sectPr>
      </w:pPr>
    </w:p>
    <w:p>
      <w:pPr>
        <w:pStyle w:val="3"/>
        <w:spacing w:before="156" w:after="156"/>
        <w:rPr>
          <w:rFonts w:ascii="Arial" w:hAnsi="Arial"/>
        </w:rPr>
      </w:pPr>
      <w:bookmarkStart w:id="373" w:name="_Toc492850145"/>
      <w:r>
        <w:rPr>
          <w:rFonts w:hint="eastAsia" w:ascii="Arial" w:hAnsi="Arial"/>
        </w:rPr>
        <w:t>附表6：晋中市域自然保护区一览表</w:t>
      </w:r>
      <w:bookmarkEnd w:id="373"/>
    </w:p>
    <w:tbl>
      <w:tblPr>
        <w:tblStyle w:val="55"/>
        <w:tblW w:w="823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6"/>
        <w:gridCol w:w="1511"/>
        <w:gridCol w:w="714"/>
        <w:gridCol w:w="629"/>
        <w:gridCol w:w="1278"/>
        <w:gridCol w:w="687"/>
        <w:gridCol w:w="25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60" w:hRule="atLeast"/>
          <w:jc w:val="center"/>
        </w:trPr>
        <w:tc>
          <w:tcPr>
            <w:tcW w:w="826" w:type="dxa"/>
            <w:vAlign w:val="center"/>
          </w:tcPr>
          <w:p>
            <w:pPr>
              <w:tabs>
                <w:tab w:val="left" w:pos="13082"/>
              </w:tabs>
              <w:adjustRightInd w:val="0"/>
              <w:spacing w:beforeLines="0" w:line="0" w:lineRule="atLeast"/>
              <w:ind w:left="-7" w:leftChars="-3"/>
              <w:jc w:val="center"/>
              <w:rPr>
                <w:b/>
                <w:sz w:val="21"/>
                <w:szCs w:val="21"/>
              </w:rPr>
            </w:pPr>
            <w:r>
              <w:rPr>
                <w:rFonts w:hint="eastAsia"/>
                <w:b/>
                <w:sz w:val="21"/>
                <w:szCs w:val="21"/>
              </w:rPr>
              <w:t>序号</w:t>
            </w:r>
          </w:p>
        </w:tc>
        <w:tc>
          <w:tcPr>
            <w:tcW w:w="1511" w:type="dxa"/>
            <w:vAlign w:val="center"/>
          </w:tcPr>
          <w:p>
            <w:pPr>
              <w:tabs>
                <w:tab w:val="left" w:pos="13082"/>
              </w:tabs>
              <w:adjustRightInd w:val="0"/>
              <w:spacing w:beforeLines="0" w:line="0" w:lineRule="atLeast"/>
              <w:ind w:left="-7" w:leftChars="-3"/>
              <w:jc w:val="center"/>
              <w:rPr>
                <w:b/>
                <w:sz w:val="21"/>
                <w:szCs w:val="21"/>
              </w:rPr>
            </w:pPr>
            <w:r>
              <w:rPr>
                <w:rFonts w:hint="eastAsia"/>
                <w:b/>
                <w:sz w:val="21"/>
                <w:szCs w:val="21"/>
              </w:rPr>
              <w:t>名称</w:t>
            </w:r>
          </w:p>
        </w:tc>
        <w:tc>
          <w:tcPr>
            <w:tcW w:w="714" w:type="dxa"/>
            <w:vAlign w:val="center"/>
          </w:tcPr>
          <w:p>
            <w:pPr>
              <w:tabs>
                <w:tab w:val="left" w:pos="13082"/>
              </w:tabs>
              <w:adjustRightInd w:val="0"/>
              <w:spacing w:beforeLines="0" w:line="0" w:lineRule="atLeast"/>
              <w:ind w:left="-7" w:leftChars="-3"/>
              <w:jc w:val="center"/>
              <w:rPr>
                <w:b/>
                <w:sz w:val="21"/>
                <w:szCs w:val="21"/>
              </w:rPr>
            </w:pPr>
            <w:r>
              <w:rPr>
                <w:rFonts w:hint="eastAsia"/>
                <w:b/>
                <w:sz w:val="21"/>
                <w:szCs w:val="21"/>
              </w:rPr>
              <w:t>等级</w:t>
            </w:r>
          </w:p>
        </w:tc>
        <w:tc>
          <w:tcPr>
            <w:tcW w:w="629" w:type="dxa"/>
            <w:vAlign w:val="center"/>
          </w:tcPr>
          <w:p>
            <w:pPr>
              <w:tabs>
                <w:tab w:val="left" w:pos="13082"/>
              </w:tabs>
              <w:adjustRightInd w:val="0"/>
              <w:spacing w:beforeLines="0" w:line="0" w:lineRule="atLeast"/>
              <w:ind w:left="-7" w:leftChars="-3"/>
              <w:jc w:val="center"/>
              <w:rPr>
                <w:b/>
                <w:sz w:val="21"/>
                <w:szCs w:val="21"/>
              </w:rPr>
            </w:pPr>
            <w:r>
              <w:rPr>
                <w:rFonts w:hint="eastAsia"/>
                <w:b/>
                <w:sz w:val="21"/>
                <w:szCs w:val="21"/>
              </w:rPr>
              <w:t>批准时间</w:t>
            </w:r>
          </w:p>
        </w:tc>
        <w:tc>
          <w:tcPr>
            <w:tcW w:w="1278" w:type="dxa"/>
            <w:vAlign w:val="center"/>
          </w:tcPr>
          <w:p>
            <w:pPr>
              <w:tabs>
                <w:tab w:val="left" w:pos="13082"/>
              </w:tabs>
              <w:adjustRightInd w:val="0"/>
              <w:spacing w:beforeLines="0" w:line="0" w:lineRule="atLeast"/>
              <w:ind w:left="-7" w:leftChars="-3"/>
              <w:jc w:val="center"/>
              <w:rPr>
                <w:b/>
                <w:sz w:val="21"/>
                <w:szCs w:val="21"/>
              </w:rPr>
            </w:pPr>
            <w:r>
              <w:rPr>
                <w:rFonts w:hint="eastAsia"/>
                <w:b/>
                <w:sz w:val="21"/>
                <w:szCs w:val="21"/>
              </w:rPr>
              <w:t>总面积</w:t>
            </w:r>
          </w:p>
          <w:p>
            <w:pPr>
              <w:tabs>
                <w:tab w:val="left" w:pos="13082"/>
              </w:tabs>
              <w:adjustRightInd w:val="0"/>
              <w:spacing w:beforeLines="0" w:line="0" w:lineRule="atLeast"/>
              <w:ind w:left="-7" w:leftChars="-3"/>
              <w:jc w:val="center"/>
              <w:rPr>
                <w:b/>
                <w:sz w:val="21"/>
                <w:szCs w:val="21"/>
              </w:rPr>
            </w:pPr>
            <w:r>
              <w:rPr>
                <w:b/>
                <w:sz w:val="21"/>
                <w:szCs w:val="21"/>
              </w:rPr>
              <w:t>(</w:t>
            </w:r>
            <w:r>
              <w:rPr>
                <w:rFonts w:hint="eastAsia"/>
                <w:b/>
                <w:sz w:val="21"/>
                <w:szCs w:val="21"/>
              </w:rPr>
              <w:t>平方公里</w:t>
            </w:r>
            <w:r>
              <w:rPr>
                <w:b/>
                <w:sz w:val="21"/>
                <w:szCs w:val="21"/>
              </w:rPr>
              <w:t>)</w:t>
            </w:r>
          </w:p>
        </w:tc>
        <w:tc>
          <w:tcPr>
            <w:tcW w:w="687" w:type="dxa"/>
            <w:vAlign w:val="center"/>
          </w:tcPr>
          <w:p>
            <w:pPr>
              <w:tabs>
                <w:tab w:val="left" w:pos="13082"/>
              </w:tabs>
              <w:adjustRightInd w:val="0"/>
              <w:spacing w:beforeLines="0" w:line="0" w:lineRule="atLeast"/>
              <w:ind w:left="-7" w:leftChars="-3"/>
              <w:jc w:val="center"/>
              <w:rPr>
                <w:b/>
                <w:sz w:val="21"/>
                <w:szCs w:val="21"/>
              </w:rPr>
            </w:pPr>
            <w:r>
              <w:rPr>
                <w:rFonts w:hint="eastAsia"/>
                <w:b/>
                <w:sz w:val="21"/>
                <w:szCs w:val="21"/>
              </w:rPr>
              <w:t>所属区县</w:t>
            </w:r>
          </w:p>
        </w:tc>
        <w:tc>
          <w:tcPr>
            <w:tcW w:w="2587" w:type="dxa"/>
            <w:vAlign w:val="center"/>
          </w:tcPr>
          <w:p>
            <w:pPr>
              <w:tabs>
                <w:tab w:val="left" w:pos="13082"/>
              </w:tabs>
              <w:adjustRightInd w:val="0"/>
              <w:spacing w:beforeLines="0" w:line="0" w:lineRule="atLeast"/>
              <w:ind w:left="-7" w:leftChars="-3"/>
              <w:jc w:val="center"/>
              <w:rPr>
                <w:b/>
                <w:sz w:val="21"/>
                <w:szCs w:val="21"/>
              </w:rPr>
            </w:pPr>
            <w:r>
              <w:rPr>
                <w:rFonts w:hint="eastAsia"/>
                <w:b/>
                <w:sz w:val="21"/>
                <w:szCs w:val="21"/>
              </w:rPr>
              <w:t>保护内容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0" w:hRule="atLeast"/>
          <w:jc w:val="center"/>
        </w:trPr>
        <w:tc>
          <w:tcPr>
            <w:tcW w:w="826"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1</w:t>
            </w:r>
          </w:p>
        </w:tc>
        <w:tc>
          <w:tcPr>
            <w:tcW w:w="1511" w:type="dxa"/>
            <w:vAlign w:val="center"/>
          </w:tcPr>
          <w:p>
            <w:pPr>
              <w:tabs>
                <w:tab w:val="left" w:pos="13082"/>
              </w:tabs>
              <w:adjustRightInd w:val="0"/>
              <w:spacing w:beforeLines="0" w:line="0" w:lineRule="atLeast"/>
              <w:ind w:left="-7" w:leftChars="-3"/>
              <w:jc w:val="center"/>
              <w:rPr>
                <w:spacing w:val="-4"/>
                <w:sz w:val="21"/>
                <w:szCs w:val="21"/>
              </w:rPr>
            </w:pPr>
            <w:r>
              <w:rPr>
                <w:rFonts w:hint="eastAsia"/>
                <w:spacing w:val="-4"/>
                <w:sz w:val="21"/>
                <w:szCs w:val="21"/>
              </w:rPr>
              <w:t>山西省铁桥山自然保护区</w:t>
            </w:r>
          </w:p>
        </w:tc>
        <w:tc>
          <w:tcPr>
            <w:tcW w:w="714"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省级</w:t>
            </w:r>
          </w:p>
        </w:tc>
        <w:tc>
          <w:tcPr>
            <w:tcW w:w="629"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2002</w:t>
            </w:r>
          </w:p>
        </w:tc>
        <w:tc>
          <w:tcPr>
            <w:tcW w:w="1278" w:type="dxa"/>
            <w:vAlign w:val="center"/>
          </w:tcPr>
          <w:p>
            <w:pPr>
              <w:tabs>
                <w:tab w:val="left" w:pos="13082"/>
              </w:tabs>
              <w:adjustRightInd w:val="0"/>
              <w:spacing w:beforeLines="0" w:line="0" w:lineRule="atLeast"/>
              <w:ind w:left="-7" w:leftChars="-3"/>
              <w:jc w:val="center"/>
              <w:rPr>
                <w:sz w:val="21"/>
                <w:szCs w:val="21"/>
              </w:rPr>
            </w:pPr>
            <w:r>
              <w:rPr>
                <w:sz w:val="21"/>
                <w:szCs w:val="21"/>
              </w:rPr>
              <w:t>3.</w:t>
            </w:r>
            <w:r>
              <w:rPr>
                <w:rFonts w:hint="eastAsia"/>
                <w:sz w:val="21"/>
                <w:szCs w:val="21"/>
              </w:rPr>
              <w:t>90</w:t>
            </w:r>
          </w:p>
        </w:tc>
        <w:tc>
          <w:tcPr>
            <w:tcW w:w="6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和顺县</w:t>
            </w:r>
          </w:p>
        </w:tc>
        <w:tc>
          <w:tcPr>
            <w:tcW w:w="25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国家重点保护野生动物金钱豹和油松天然次生林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0" w:hRule="atLeast"/>
          <w:jc w:val="center"/>
        </w:trPr>
        <w:tc>
          <w:tcPr>
            <w:tcW w:w="826"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2</w:t>
            </w:r>
          </w:p>
        </w:tc>
        <w:tc>
          <w:tcPr>
            <w:tcW w:w="1511" w:type="dxa"/>
            <w:vAlign w:val="center"/>
          </w:tcPr>
          <w:p>
            <w:pPr>
              <w:tabs>
                <w:tab w:val="left" w:pos="13082"/>
              </w:tabs>
              <w:adjustRightInd w:val="0"/>
              <w:spacing w:beforeLines="0" w:line="0" w:lineRule="atLeast"/>
              <w:ind w:left="-7" w:leftChars="-3"/>
              <w:jc w:val="center"/>
              <w:rPr>
                <w:spacing w:val="-4"/>
                <w:sz w:val="21"/>
                <w:szCs w:val="21"/>
              </w:rPr>
            </w:pPr>
            <w:r>
              <w:rPr>
                <w:rFonts w:hint="eastAsia"/>
                <w:spacing w:val="-4"/>
                <w:sz w:val="21"/>
                <w:szCs w:val="21"/>
              </w:rPr>
              <w:t>山西省八缚岭自然保护区</w:t>
            </w:r>
          </w:p>
        </w:tc>
        <w:tc>
          <w:tcPr>
            <w:tcW w:w="714"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省级</w:t>
            </w:r>
          </w:p>
        </w:tc>
        <w:tc>
          <w:tcPr>
            <w:tcW w:w="629"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2002</w:t>
            </w:r>
          </w:p>
        </w:tc>
        <w:tc>
          <w:tcPr>
            <w:tcW w:w="1278" w:type="dxa"/>
            <w:vAlign w:val="center"/>
          </w:tcPr>
          <w:p>
            <w:pPr>
              <w:tabs>
                <w:tab w:val="left" w:pos="13082"/>
              </w:tabs>
              <w:adjustRightInd w:val="0"/>
              <w:spacing w:beforeLines="0" w:line="0" w:lineRule="atLeast"/>
              <w:ind w:left="-7" w:leftChars="-3"/>
              <w:jc w:val="center"/>
              <w:rPr>
                <w:sz w:val="21"/>
                <w:szCs w:val="21"/>
              </w:rPr>
            </w:pPr>
            <w:r>
              <w:rPr>
                <w:sz w:val="21"/>
                <w:szCs w:val="21"/>
              </w:rPr>
              <w:t>1.5</w:t>
            </w:r>
            <w:r>
              <w:rPr>
                <w:rFonts w:hint="eastAsia"/>
                <w:sz w:val="21"/>
                <w:szCs w:val="21"/>
              </w:rPr>
              <w:t>3</w:t>
            </w:r>
          </w:p>
        </w:tc>
        <w:tc>
          <w:tcPr>
            <w:tcW w:w="6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榆次区</w:t>
            </w:r>
          </w:p>
        </w:tc>
        <w:tc>
          <w:tcPr>
            <w:tcW w:w="25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国家重点保护野生动植物金钱豹、丽豆及森林生态系统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0" w:hRule="atLeast"/>
          <w:jc w:val="center"/>
        </w:trPr>
        <w:tc>
          <w:tcPr>
            <w:tcW w:w="826"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3</w:t>
            </w:r>
          </w:p>
        </w:tc>
        <w:tc>
          <w:tcPr>
            <w:tcW w:w="1511" w:type="dxa"/>
            <w:vAlign w:val="center"/>
          </w:tcPr>
          <w:p>
            <w:pPr>
              <w:tabs>
                <w:tab w:val="left" w:pos="13082"/>
              </w:tabs>
              <w:adjustRightInd w:val="0"/>
              <w:spacing w:beforeLines="0" w:line="0" w:lineRule="atLeast"/>
              <w:ind w:left="-7" w:leftChars="-3"/>
              <w:jc w:val="center"/>
              <w:rPr>
                <w:spacing w:val="-4"/>
                <w:sz w:val="21"/>
                <w:szCs w:val="21"/>
              </w:rPr>
            </w:pPr>
            <w:r>
              <w:rPr>
                <w:rFonts w:hint="eastAsia"/>
                <w:spacing w:val="-4"/>
                <w:sz w:val="21"/>
                <w:szCs w:val="21"/>
              </w:rPr>
              <w:t>山西省四县垴自然保护区</w:t>
            </w:r>
          </w:p>
        </w:tc>
        <w:tc>
          <w:tcPr>
            <w:tcW w:w="714"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省级</w:t>
            </w:r>
          </w:p>
        </w:tc>
        <w:tc>
          <w:tcPr>
            <w:tcW w:w="629"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2002</w:t>
            </w:r>
          </w:p>
        </w:tc>
        <w:tc>
          <w:tcPr>
            <w:tcW w:w="1278" w:type="dxa"/>
            <w:vAlign w:val="center"/>
          </w:tcPr>
          <w:p>
            <w:pPr>
              <w:tabs>
                <w:tab w:val="left" w:pos="13082"/>
              </w:tabs>
              <w:adjustRightInd w:val="0"/>
              <w:spacing w:beforeLines="0" w:line="0" w:lineRule="atLeast"/>
              <w:ind w:left="-7" w:leftChars="-3"/>
              <w:jc w:val="center"/>
              <w:rPr>
                <w:sz w:val="21"/>
                <w:szCs w:val="21"/>
              </w:rPr>
            </w:pPr>
            <w:r>
              <w:rPr>
                <w:sz w:val="21"/>
                <w:szCs w:val="21"/>
              </w:rPr>
              <w:t>1.6</w:t>
            </w:r>
            <w:r>
              <w:rPr>
                <w:rFonts w:hint="eastAsia"/>
                <w:sz w:val="21"/>
                <w:szCs w:val="21"/>
              </w:rPr>
              <w:t>0</w:t>
            </w:r>
          </w:p>
        </w:tc>
        <w:tc>
          <w:tcPr>
            <w:tcW w:w="6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祁县</w:t>
            </w:r>
          </w:p>
        </w:tc>
        <w:tc>
          <w:tcPr>
            <w:tcW w:w="25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国家重点保护野生动物金钱豹及森林生态系统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826"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4</w:t>
            </w:r>
          </w:p>
        </w:tc>
        <w:tc>
          <w:tcPr>
            <w:tcW w:w="1511"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山西省超山自然保护区</w:t>
            </w:r>
          </w:p>
        </w:tc>
        <w:tc>
          <w:tcPr>
            <w:tcW w:w="714"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省级</w:t>
            </w:r>
          </w:p>
        </w:tc>
        <w:tc>
          <w:tcPr>
            <w:tcW w:w="629"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2002</w:t>
            </w:r>
          </w:p>
        </w:tc>
        <w:tc>
          <w:tcPr>
            <w:tcW w:w="1278" w:type="dxa"/>
            <w:vAlign w:val="center"/>
          </w:tcPr>
          <w:p>
            <w:pPr>
              <w:tabs>
                <w:tab w:val="left" w:pos="13082"/>
              </w:tabs>
              <w:adjustRightInd w:val="0"/>
              <w:spacing w:beforeLines="0" w:line="0" w:lineRule="atLeast"/>
              <w:ind w:left="-7" w:leftChars="-3"/>
              <w:jc w:val="center"/>
              <w:rPr>
                <w:sz w:val="21"/>
                <w:szCs w:val="21"/>
              </w:rPr>
            </w:pPr>
            <w:r>
              <w:rPr>
                <w:sz w:val="21"/>
                <w:szCs w:val="21"/>
              </w:rPr>
              <w:t>1.8</w:t>
            </w:r>
            <w:r>
              <w:rPr>
                <w:rFonts w:hint="eastAsia"/>
                <w:sz w:val="21"/>
                <w:szCs w:val="21"/>
              </w:rPr>
              <w:t>6</w:t>
            </w:r>
          </w:p>
        </w:tc>
        <w:tc>
          <w:tcPr>
            <w:tcW w:w="6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平遥县</w:t>
            </w:r>
          </w:p>
        </w:tc>
        <w:tc>
          <w:tcPr>
            <w:tcW w:w="25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森林生态系统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0" w:hRule="atLeast"/>
          <w:jc w:val="center"/>
        </w:trPr>
        <w:tc>
          <w:tcPr>
            <w:tcW w:w="826"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5</w:t>
            </w:r>
          </w:p>
        </w:tc>
        <w:tc>
          <w:tcPr>
            <w:tcW w:w="1511" w:type="dxa"/>
            <w:vAlign w:val="center"/>
          </w:tcPr>
          <w:p>
            <w:pPr>
              <w:tabs>
                <w:tab w:val="left" w:pos="13082"/>
              </w:tabs>
              <w:adjustRightInd w:val="0"/>
              <w:spacing w:beforeLines="0" w:line="0" w:lineRule="atLeast"/>
              <w:ind w:left="-7" w:leftChars="-3"/>
              <w:jc w:val="center"/>
              <w:rPr>
                <w:spacing w:val="-4"/>
                <w:sz w:val="21"/>
                <w:szCs w:val="21"/>
              </w:rPr>
            </w:pPr>
            <w:r>
              <w:rPr>
                <w:rFonts w:hint="eastAsia"/>
                <w:spacing w:val="-4"/>
                <w:sz w:val="21"/>
                <w:szCs w:val="21"/>
              </w:rPr>
              <w:t>山西省孟信垴自然保护区</w:t>
            </w:r>
          </w:p>
        </w:tc>
        <w:tc>
          <w:tcPr>
            <w:tcW w:w="714"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省级</w:t>
            </w:r>
          </w:p>
        </w:tc>
        <w:tc>
          <w:tcPr>
            <w:tcW w:w="629"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2002</w:t>
            </w:r>
          </w:p>
        </w:tc>
        <w:tc>
          <w:tcPr>
            <w:tcW w:w="1278" w:type="dxa"/>
            <w:vAlign w:val="center"/>
          </w:tcPr>
          <w:p>
            <w:pPr>
              <w:tabs>
                <w:tab w:val="left" w:pos="13082"/>
              </w:tabs>
              <w:adjustRightInd w:val="0"/>
              <w:spacing w:beforeLines="0" w:line="0" w:lineRule="atLeast"/>
              <w:ind w:left="-7" w:leftChars="-3"/>
              <w:jc w:val="center"/>
              <w:rPr>
                <w:sz w:val="21"/>
                <w:szCs w:val="21"/>
              </w:rPr>
            </w:pPr>
            <w:r>
              <w:rPr>
                <w:sz w:val="21"/>
                <w:szCs w:val="21"/>
              </w:rPr>
              <w:t>3.93</w:t>
            </w:r>
          </w:p>
        </w:tc>
        <w:tc>
          <w:tcPr>
            <w:tcW w:w="6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左权县</w:t>
            </w:r>
          </w:p>
        </w:tc>
        <w:tc>
          <w:tcPr>
            <w:tcW w:w="25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国家重点保护野生动物金钱豹及森林生态系统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4" w:hRule="atLeast"/>
          <w:jc w:val="center"/>
        </w:trPr>
        <w:tc>
          <w:tcPr>
            <w:tcW w:w="826"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6</w:t>
            </w:r>
          </w:p>
        </w:tc>
        <w:tc>
          <w:tcPr>
            <w:tcW w:w="1511"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绵山自然保护区</w:t>
            </w:r>
          </w:p>
        </w:tc>
        <w:tc>
          <w:tcPr>
            <w:tcW w:w="714"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省级</w:t>
            </w:r>
          </w:p>
        </w:tc>
        <w:tc>
          <w:tcPr>
            <w:tcW w:w="629" w:type="dxa"/>
            <w:vAlign w:val="center"/>
          </w:tcPr>
          <w:p>
            <w:pPr>
              <w:tabs>
                <w:tab w:val="left" w:pos="13082"/>
              </w:tabs>
              <w:adjustRightInd w:val="0"/>
              <w:spacing w:beforeLines="0" w:line="0" w:lineRule="atLeast"/>
              <w:ind w:left="-7" w:leftChars="-3"/>
              <w:jc w:val="center"/>
              <w:rPr>
                <w:sz w:val="21"/>
                <w:szCs w:val="21"/>
              </w:rPr>
            </w:pPr>
            <w:r>
              <w:rPr>
                <w:sz w:val="21"/>
                <w:szCs w:val="21"/>
              </w:rPr>
              <w:t>1993</w:t>
            </w:r>
          </w:p>
        </w:tc>
        <w:tc>
          <w:tcPr>
            <w:tcW w:w="1278" w:type="dxa"/>
            <w:vAlign w:val="center"/>
          </w:tcPr>
          <w:p>
            <w:pPr>
              <w:tabs>
                <w:tab w:val="left" w:pos="13082"/>
              </w:tabs>
              <w:adjustRightInd w:val="0"/>
              <w:spacing w:beforeLines="0" w:line="0" w:lineRule="atLeast"/>
              <w:ind w:left="-7" w:leftChars="-3"/>
              <w:jc w:val="center"/>
              <w:rPr>
                <w:sz w:val="21"/>
                <w:szCs w:val="21"/>
              </w:rPr>
            </w:pPr>
            <w:r>
              <w:rPr>
                <w:sz w:val="21"/>
                <w:szCs w:val="21"/>
              </w:rPr>
              <w:t>1.78</w:t>
            </w:r>
          </w:p>
        </w:tc>
        <w:tc>
          <w:tcPr>
            <w:tcW w:w="6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介休市</w:t>
            </w:r>
          </w:p>
        </w:tc>
        <w:tc>
          <w:tcPr>
            <w:tcW w:w="25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华北落叶松及野生林果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0" w:hRule="atLeast"/>
          <w:jc w:val="center"/>
        </w:trPr>
        <w:tc>
          <w:tcPr>
            <w:tcW w:w="826"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7</w:t>
            </w:r>
          </w:p>
        </w:tc>
        <w:tc>
          <w:tcPr>
            <w:tcW w:w="1511"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山西省韩信岭自然保护区</w:t>
            </w:r>
          </w:p>
        </w:tc>
        <w:tc>
          <w:tcPr>
            <w:tcW w:w="714"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省级</w:t>
            </w:r>
          </w:p>
        </w:tc>
        <w:tc>
          <w:tcPr>
            <w:tcW w:w="629" w:type="dxa"/>
            <w:vAlign w:val="center"/>
          </w:tcPr>
          <w:p>
            <w:pPr>
              <w:tabs>
                <w:tab w:val="left" w:pos="13082"/>
              </w:tabs>
              <w:adjustRightInd w:val="0"/>
              <w:spacing w:beforeLines="0" w:line="0" w:lineRule="atLeast"/>
              <w:ind w:left="-7" w:leftChars="-3"/>
              <w:jc w:val="center"/>
              <w:rPr>
                <w:sz w:val="21"/>
                <w:szCs w:val="21"/>
              </w:rPr>
            </w:pPr>
            <w:r>
              <w:rPr>
                <w:rFonts w:hint="eastAsia"/>
                <w:sz w:val="21"/>
                <w:szCs w:val="21"/>
              </w:rPr>
              <w:t>2002</w:t>
            </w:r>
          </w:p>
        </w:tc>
        <w:tc>
          <w:tcPr>
            <w:tcW w:w="1278" w:type="dxa"/>
            <w:vAlign w:val="center"/>
          </w:tcPr>
          <w:p>
            <w:pPr>
              <w:tabs>
                <w:tab w:val="left" w:pos="13082"/>
              </w:tabs>
              <w:adjustRightInd w:val="0"/>
              <w:spacing w:beforeLines="0" w:line="0" w:lineRule="atLeast"/>
              <w:ind w:left="-7" w:leftChars="-3"/>
              <w:jc w:val="center"/>
              <w:rPr>
                <w:sz w:val="21"/>
                <w:szCs w:val="21"/>
              </w:rPr>
            </w:pPr>
            <w:r>
              <w:rPr>
                <w:sz w:val="21"/>
                <w:szCs w:val="21"/>
              </w:rPr>
              <w:t>3.8</w:t>
            </w:r>
            <w:r>
              <w:rPr>
                <w:rFonts w:hint="eastAsia"/>
                <w:sz w:val="21"/>
                <w:szCs w:val="21"/>
              </w:rPr>
              <w:t>0</w:t>
            </w:r>
          </w:p>
        </w:tc>
        <w:tc>
          <w:tcPr>
            <w:tcW w:w="6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灵石县</w:t>
            </w:r>
          </w:p>
        </w:tc>
        <w:tc>
          <w:tcPr>
            <w:tcW w:w="2587" w:type="dxa"/>
            <w:vAlign w:val="center"/>
          </w:tcPr>
          <w:p>
            <w:pPr>
              <w:tabs>
                <w:tab w:val="left" w:pos="13082"/>
              </w:tabs>
              <w:adjustRightInd w:val="0"/>
              <w:spacing w:beforeLines="0" w:line="0" w:lineRule="atLeast"/>
              <w:ind w:left="-7" w:leftChars="-3"/>
              <w:jc w:val="left"/>
              <w:rPr>
                <w:sz w:val="21"/>
                <w:szCs w:val="21"/>
              </w:rPr>
            </w:pPr>
            <w:r>
              <w:rPr>
                <w:rFonts w:hint="eastAsia"/>
                <w:sz w:val="21"/>
                <w:szCs w:val="21"/>
              </w:rPr>
              <w:t>侧柏、杜松及森林生态系统</w:t>
            </w:r>
          </w:p>
        </w:tc>
      </w:tr>
    </w:tbl>
    <w:p>
      <w:pPr>
        <w:adjustRightInd w:val="0"/>
        <w:spacing w:before="156"/>
        <w:jc w:val="center"/>
        <w:rPr>
          <w:sz w:val="32"/>
        </w:rPr>
      </w:pPr>
    </w:p>
    <w:p>
      <w:pPr>
        <w:pStyle w:val="3"/>
        <w:spacing w:before="156" w:after="156"/>
        <w:rPr>
          <w:rFonts w:ascii="Arial" w:hAnsi="Arial"/>
        </w:rPr>
      </w:pPr>
      <w:bookmarkStart w:id="374" w:name="_Toc492850146"/>
      <w:r>
        <w:rPr>
          <w:rFonts w:hint="eastAsia" w:ascii="Arial" w:hAnsi="Arial"/>
        </w:rPr>
        <w:t>附表</w:t>
      </w:r>
      <w:r>
        <w:rPr>
          <w:rFonts w:ascii="Arial" w:hAnsi="Arial"/>
        </w:rPr>
        <w:t>7</w:t>
      </w:r>
      <w:r>
        <w:rPr>
          <w:rFonts w:hint="eastAsia" w:ascii="Arial" w:hAnsi="Arial"/>
        </w:rPr>
        <w:t>：晋中市域风景名胜区一览表</w:t>
      </w:r>
      <w:bookmarkEnd w:id="374"/>
    </w:p>
    <w:tbl>
      <w:tblPr>
        <w:tblStyle w:val="55"/>
        <w:tblW w:w="823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1"/>
        <w:gridCol w:w="1417"/>
        <w:gridCol w:w="706"/>
        <w:gridCol w:w="963"/>
        <w:gridCol w:w="46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06" w:hRule="atLeast"/>
          <w:jc w:val="center"/>
        </w:trPr>
        <w:tc>
          <w:tcPr>
            <w:tcW w:w="531" w:type="dxa"/>
            <w:vAlign w:val="center"/>
          </w:tcPr>
          <w:p>
            <w:pPr>
              <w:adjustRightInd w:val="0"/>
              <w:spacing w:beforeLines="0" w:line="0" w:lineRule="atLeast"/>
              <w:ind w:left="0" w:leftChars="0"/>
              <w:jc w:val="center"/>
              <w:rPr>
                <w:b/>
                <w:sz w:val="21"/>
                <w:szCs w:val="21"/>
              </w:rPr>
            </w:pPr>
            <w:r>
              <w:rPr>
                <w:rFonts w:hint="eastAsia"/>
                <w:b/>
                <w:sz w:val="21"/>
                <w:szCs w:val="21"/>
              </w:rPr>
              <w:t>序号</w:t>
            </w:r>
          </w:p>
        </w:tc>
        <w:tc>
          <w:tcPr>
            <w:tcW w:w="1417" w:type="dxa"/>
            <w:vAlign w:val="center"/>
          </w:tcPr>
          <w:p>
            <w:pPr>
              <w:adjustRightInd w:val="0"/>
              <w:spacing w:beforeLines="0" w:line="0" w:lineRule="atLeast"/>
              <w:ind w:left="0" w:leftChars="0"/>
              <w:jc w:val="center"/>
              <w:rPr>
                <w:b/>
                <w:sz w:val="21"/>
                <w:szCs w:val="21"/>
              </w:rPr>
            </w:pPr>
            <w:r>
              <w:rPr>
                <w:rFonts w:hint="eastAsia"/>
                <w:b/>
                <w:sz w:val="21"/>
                <w:szCs w:val="21"/>
              </w:rPr>
              <w:t>名称</w:t>
            </w:r>
          </w:p>
        </w:tc>
        <w:tc>
          <w:tcPr>
            <w:tcW w:w="706" w:type="dxa"/>
            <w:vAlign w:val="center"/>
          </w:tcPr>
          <w:p>
            <w:pPr>
              <w:adjustRightInd w:val="0"/>
              <w:spacing w:beforeLines="0" w:line="0" w:lineRule="atLeast"/>
              <w:ind w:left="0" w:leftChars="0"/>
              <w:jc w:val="center"/>
              <w:rPr>
                <w:b/>
                <w:sz w:val="21"/>
                <w:szCs w:val="21"/>
              </w:rPr>
            </w:pPr>
            <w:r>
              <w:rPr>
                <w:rFonts w:hint="eastAsia"/>
                <w:b/>
                <w:sz w:val="21"/>
                <w:szCs w:val="21"/>
              </w:rPr>
              <w:t>等级</w:t>
            </w:r>
          </w:p>
        </w:tc>
        <w:tc>
          <w:tcPr>
            <w:tcW w:w="963" w:type="dxa"/>
            <w:vAlign w:val="center"/>
          </w:tcPr>
          <w:p>
            <w:pPr>
              <w:adjustRightInd w:val="0"/>
              <w:spacing w:beforeLines="0" w:line="0" w:lineRule="atLeast"/>
              <w:ind w:left="0" w:leftChars="0"/>
              <w:jc w:val="center"/>
              <w:rPr>
                <w:b/>
                <w:sz w:val="21"/>
                <w:szCs w:val="21"/>
              </w:rPr>
            </w:pPr>
            <w:r>
              <w:rPr>
                <w:rFonts w:hint="eastAsia"/>
                <w:b/>
                <w:sz w:val="21"/>
                <w:szCs w:val="21"/>
              </w:rPr>
              <w:t>面积</w:t>
            </w:r>
          </w:p>
          <w:p>
            <w:pPr>
              <w:adjustRightInd w:val="0"/>
              <w:spacing w:beforeLines="0" w:line="0" w:lineRule="atLeast"/>
              <w:ind w:left="0" w:leftChars="0"/>
              <w:jc w:val="center"/>
              <w:rPr>
                <w:b/>
                <w:sz w:val="21"/>
                <w:szCs w:val="21"/>
              </w:rPr>
            </w:pPr>
            <w:r>
              <w:rPr>
                <w:rFonts w:hint="eastAsia"/>
                <w:b/>
                <w:sz w:val="21"/>
                <w:szCs w:val="21"/>
              </w:rPr>
              <w:t>（平方公里）</w:t>
            </w:r>
          </w:p>
        </w:tc>
        <w:tc>
          <w:tcPr>
            <w:tcW w:w="4614" w:type="dxa"/>
            <w:vAlign w:val="center"/>
          </w:tcPr>
          <w:p>
            <w:pPr>
              <w:adjustRightInd w:val="0"/>
              <w:spacing w:beforeLines="0" w:line="0" w:lineRule="atLeast"/>
              <w:ind w:left="0" w:leftChars="0"/>
              <w:jc w:val="center"/>
              <w:rPr>
                <w:b/>
                <w:sz w:val="21"/>
                <w:szCs w:val="21"/>
              </w:rPr>
            </w:pPr>
            <w:r>
              <w:rPr>
                <w:rFonts w:hint="eastAsia"/>
                <w:b/>
                <w:sz w:val="21"/>
                <w:szCs w:val="21"/>
              </w:rPr>
              <w:t>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38" w:hRule="atLeast"/>
          <w:jc w:val="center"/>
        </w:trPr>
        <w:tc>
          <w:tcPr>
            <w:tcW w:w="531" w:type="dxa"/>
            <w:vAlign w:val="center"/>
          </w:tcPr>
          <w:p>
            <w:pPr>
              <w:adjustRightInd w:val="0"/>
              <w:spacing w:beforeLines="0" w:line="0" w:lineRule="atLeast"/>
              <w:ind w:left="0" w:leftChars="0"/>
              <w:jc w:val="center"/>
              <w:rPr>
                <w:sz w:val="21"/>
                <w:szCs w:val="21"/>
              </w:rPr>
            </w:pPr>
            <w:r>
              <w:rPr>
                <w:sz w:val="21"/>
                <w:szCs w:val="21"/>
              </w:rPr>
              <w:t>1</w:t>
            </w:r>
          </w:p>
        </w:tc>
        <w:tc>
          <w:tcPr>
            <w:tcW w:w="1417" w:type="dxa"/>
            <w:vAlign w:val="center"/>
          </w:tcPr>
          <w:p>
            <w:pPr>
              <w:adjustRightInd w:val="0"/>
              <w:spacing w:beforeLines="0" w:line="0" w:lineRule="atLeast"/>
              <w:ind w:left="0" w:leftChars="0"/>
              <w:jc w:val="center"/>
              <w:rPr>
                <w:sz w:val="21"/>
                <w:szCs w:val="21"/>
              </w:rPr>
            </w:pPr>
            <w:r>
              <w:rPr>
                <w:rFonts w:hint="eastAsia"/>
                <w:sz w:val="21"/>
                <w:szCs w:val="21"/>
              </w:rPr>
              <w:t>绵山风景名胜区</w:t>
            </w:r>
          </w:p>
        </w:tc>
        <w:tc>
          <w:tcPr>
            <w:tcW w:w="706" w:type="dxa"/>
            <w:vAlign w:val="center"/>
          </w:tcPr>
          <w:p>
            <w:pPr>
              <w:adjustRightInd w:val="0"/>
              <w:spacing w:beforeLines="0" w:line="0" w:lineRule="atLeast"/>
              <w:ind w:left="0" w:leftChars="0"/>
              <w:jc w:val="center"/>
              <w:rPr>
                <w:sz w:val="21"/>
                <w:szCs w:val="21"/>
              </w:rPr>
            </w:pPr>
            <w:r>
              <w:rPr>
                <w:rFonts w:hint="eastAsia"/>
                <w:sz w:val="21"/>
                <w:szCs w:val="21"/>
              </w:rPr>
              <w:t>省级</w:t>
            </w:r>
          </w:p>
        </w:tc>
        <w:tc>
          <w:tcPr>
            <w:tcW w:w="963" w:type="dxa"/>
            <w:vAlign w:val="center"/>
          </w:tcPr>
          <w:p>
            <w:pPr>
              <w:adjustRightInd w:val="0"/>
              <w:spacing w:beforeLines="0" w:line="0" w:lineRule="atLeast"/>
              <w:ind w:left="0" w:leftChars="0"/>
              <w:jc w:val="center"/>
              <w:rPr>
                <w:sz w:val="21"/>
                <w:szCs w:val="21"/>
              </w:rPr>
            </w:pPr>
            <w:r>
              <w:rPr>
                <w:rFonts w:hint="eastAsia"/>
                <w:sz w:val="21"/>
                <w:szCs w:val="21"/>
              </w:rPr>
              <w:t>40</w:t>
            </w:r>
          </w:p>
        </w:tc>
        <w:tc>
          <w:tcPr>
            <w:tcW w:w="4614" w:type="dxa"/>
            <w:vAlign w:val="center"/>
          </w:tcPr>
          <w:p>
            <w:pPr>
              <w:adjustRightInd w:val="0"/>
              <w:spacing w:beforeLines="0" w:line="0" w:lineRule="atLeast"/>
              <w:ind w:left="0" w:leftChars="0"/>
              <w:jc w:val="left"/>
              <w:rPr>
                <w:sz w:val="21"/>
                <w:szCs w:val="21"/>
              </w:rPr>
            </w:pPr>
            <w:r>
              <w:rPr>
                <w:rFonts w:hint="eastAsia"/>
                <w:sz w:val="21"/>
                <w:szCs w:val="21"/>
              </w:rPr>
              <w:t>北以摩斯塔北第一条山脊线为界至南槐志村，南部以介休与灵石县界为界至绵山最高峰，西至兴地村，东以介休与沁源县界为界至第二高峰。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054" w:hRule="atLeast"/>
          <w:jc w:val="center"/>
        </w:trPr>
        <w:tc>
          <w:tcPr>
            <w:tcW w:w="531" w:type="dxa"/>
            <w:vAlign w:val="center"/>
          </w:tcPr>
          <w:p>
            <w:pPr>
              <w:adjustRightInd w:val="0"/>
              <w:spacing w:beforeLines="0" w:line="0" w:lineRule="atLeast"/>
              <w:ind w:left="0" w:leftChars="0"/>
              <w:jc w:val="center"/>
              <w:rPr>
                <w:sz w:val="21"/>
                <w:szCs w:val="21"/>
              </w:rPr>
            </w:pPr>
            <w:r>
              <w:rPr>
                <w:sz w:val="21"/>
                <w:szCs w:val="21"/>
              </w:rPr>
              <w:t>2</w:t>
            </w:r>
          </w:p>
        </w:tc>
        <w:tc>
          <w:tcPr>
            <w:tcW w:w="1417" w:type="dxa"/>
            <w:vAlign w:val="center"/>
          </w:tcPr>
          <w:p>
            <w:pPr>
              <w:adjustRightInd w:val="0"/>
              <w:spacing w:beforeLines="0" w:line="0" w:lineRule="atLeast"/>
              <w:ind w:left="0" w:leftChars="0"/>
              <w:jc w:val="center"/>
              <w:rPr>
                <w:sz w:val="21"/>
                <w:szCs w:val="21"/>
              </w:rPr>
            </w:pPr>
            <w:r>
              <w:rPr>
                <w:rFonts w:hint="eastAsia"/>
                <w:sz w:val="21"/>
                <w:szCs w:val="21"/>
              </w:rPr>
              <w:t>石膏山风景名胜区</w:t>
            </w:r>
          </w:p>
        </w:tc>
        <w:tc>
          <w:tcPr>
            <w:tcW w:w="706" w:type="dxa"/>
            <w:vAlign w:val="center"/>
          </w:tcPr>
          <w:p>
            <w:pPr>
              <w:adjustRightInd w:val="0"/>
              <w:spacing w:beforeLines="0" w:line="0" w:lineRule="atLeast"/>
              <w:ind w:left="0" w:leftChars="0"/>
              <w:jc w:val="center"/>
              <w:rPr>
                <w:sz w:val="21"/>
                <w:szCs w:val="21"/>
              </w:rPr>
            </w:pPr>
            <w:r>
              <w:rPr>
                <w:rFonts w:hint="eastAsia"/>
                <w:sz w:val="21"/>
                <w:szCs w:val="21"/>
              </w:rPr>
              <w:t>省级</w:t>
            </w:r>
          </w:p>
        </w:tc>
        <w:tc>
          <w:tcPr>
            <w:tcW w:w="963" w:type="dxa"/>
            <w:vAlign w:val="center"/>
          </w:tcPr>
          <w:p>
            <w:pPr>
              <w:adjustRightInd w:val="0"/>
              <w:spacing w:beforeLines="0" w:line="0" w:lineRule="atLeast"/>
              <w:ind w:left="0" w:leftChars="0"/>
              <w:jc w:val="center"/>
              <w:rPr>
                <w:sz w:val="21"/>
                <w:szCs w:val="21"/>
              </w:rPr>
            </w:pPr>
            <w:r>
              <w:rPr>
                <w:rFonts w:hint="eastAsia"/>
                <w:sz w:val="21"/>
                <w:szCs w:val="21"/>
              </w:rPr>
              <w:t>30</w:t>
            </w:r>
          </w:p>
        </w:tc>
        <w:tc>
          <w:tcPr>
            <w:tcW w:w="4614" w:type="dxa"/>
            <w:vAlign w:val="center"/>
          </w:tcPr>
          <w:p>
            <w:pPr>
              <w:adjustRightInd w:val="0"/>
              <w:spacing w:beforeLines="0" w:line="0" w:lineRule="atLeast"/>
              <w:ind w:left="0" w:leftChars="0"/>
              <w:jc w:val="left"/>
              <w:rPr>
                <w:sz w:val="21"/>
                <w:szCs w:val="21"/>
              </w:rPr>
            </w:pPr>
            <w:r>
              <w:rPr>
                <w:rFonts w:hint="eastAsia"/>
                <w:sz w:val="21"/>
                <w:szCs w:val="21"/>
              </w:rPr>
              <w:t>北至主峰花石岩的杂草沟，南至大背沟及几个制高点，西至石膏山林场，东至灵石与沁源县界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054" w:hRule="atLeast"/>
          <w:jc w:val="center"/>
        </w:trPr>
        <w:tc>
          <w:tcPr>
            <w:tcW w:w="531" w:type="dxa"/>
            <w:vAlign w:val="center"/>
          </w:tcPr>
          <w:p>
            <w:pPr>
              <w:adjustRightInd w:val="0"/>
              <w:spacing w:beforeLines="0" w:line="0" w:lineRule="atLeast"/>
              <w:ind w:left="0" w:leftChars="0"/>
              <w:jc w:val="center"/>
              <w:rPr>
                <w:sz w:val="21"/>
                <w:szCs w:val="21"/>
              </w:rPr>
            </w:pPr>
            <w:r>
              <w:rPr>
                <w:rFonts w:hint="eastAsia"/>
                <w:sz w:val="21"/>
                <w:szCs w:val="21"/>
              </w:rPr>
              <w:t>3</w:t>
            </w:r>
          </w:p>
        </w:tc>
        <w:tc>
          <w:tcPr>
            <w:tcW w:w="1417" w:type="dxa"/>
            <w:vAlign w:val="center"/>
          </w:tcPr>
          <w:p>
            <w:pPr>
              <w:adjustRightInd w:val="0"/>
              <w:spacing w:beforeLines="0" w:line="0" w:lineRule="atLeast"/>
              <w:ind w:left="0" w:leftChars="0"/>
              <w:jc w:val="center"/>
              <w:rPr>
                <w:sz w:val="21"/>
                <w:szCs w:val="21"/>
              </w:rPr>
            </w:pPr>
            <w:r>
              <w:rPr>
                <w:rFonts w:hint="eastAsia"/>
                <w:sz w:val="21"/>
                <w:szCs w:val="21"/>
              </w:rPr>
              <w:t>龙泉风景名胜区</w:t>
            </w:r>
          </w:p>
        </w:tc>
        <w:tc>
          <w:tcPr>
            <w:tcW w:w="706" w:type="dxa"/>
            <w:vAlign w:val="center"/>
          </w:tcPr>
          <w:p>
            <w:pPr>
              <w:adjustRightInd w:val="0"/>
              <w:spacing w:beforeLines="0" w:line="0" w:lineRule="atLeast"/>
              <w:ind w:left="0" w:leftChars="0"/>
              <w:jc w:val="center"/>
              <w:rPr>
                <w:sz w:val="21"/>
                <w:szCs w:val="21"/>
              </w:rPr>
            </w:pPr>
            <w:r>
              <w:rPr>
                <w:rFonts w:hint="eastAsia"/>
                <w:sz w:val="21"/>
                <w:szCs w:val="21"/>
              </w:rPr>
              <w:t>省级</w:t>
            </w:r>
          </w:p>
        </w:tc>
        <w:tc>
          <w:tcPr>
            <w:tcW w:w="963" w:type="dxa"/>
            <w:vAlign w:val="center"/>
          </w:tcPr>
          <w:p>
            <w:pPr>
              <w:adjustRightInd w:val="0"/>
              <w:spacing w:beforeLines="0" w:line="0" w:lineRule="atLeast"/>
              <w:ind w:left="0" w:leftChars="0"/>
              <w:jc w:val="center"/>
              <w:rPr>
                <w:sz w:val="21"/>
                <w:szCs w:val="21"/>
              </w:rPr>
            </w:pPr>
            <w:r>
              <w:rPr>
                <w:rFonts w:hint="eastAsia"/>
                <w:sz w:val="21"/>
                <w:szCs w:val="21"/>
              </w:rPr>
              <w:t>35</w:t>
            </w:r>
          </w:p>
        </w:tc>
        <w:tc>
          <w:tcPr>
            <w:tcW w:w="4614" w:type="dxa"/>
            <w:vAlign w:val="center"/>
          </w:tcPr>
          <w:p>
            <w:pPr>
              <w:adjustRightInd w:val="0"/>
              <w:spacing w:beforeLines="0" w:line="0" w:lineRule="atLeast"/>
              <w:ind w:left="0" w:leftChars="0"/>
              <w:jc w:val="center"/>
              <w:rPr>
                <w:sz w:val="21"/>
                <w:szCs w:val="21"/>
              </w:rPr>
            </w:pPr>
            <w:r>
              <w:rPr>
                <w:rFonts w:hint="eastAsia"/>
                <w:sz w:val="21"/>
                <w:szCs w:val="21"/>
              </w:rPr>
              <w:t>—</w:t>
            </w:r>
          </w:p>
        </w:tc>
      </w:tr>
    </w:tbl>
    <w:p>
      <w:pPr>
        <w:tabs>
          <w:tab w:val="left" w:pos="13082"/>
        </w:tabs>
        <w:adjustRightInd w:val="0"/>
        <w:spacing w:before="156"/>
        <w:jc w:val="center"/>
      </w:pPr>
    </w:p>
    <w:p>
      <w:pPr>
        <w:tabs>
          <w:tab w:val="left" w:pos="13082"/>
        </w:tabs>
        <w:adjustRightInd w:val="0"/>
        <w:spacing w:before="156"/>
        <w:jc w:val="center"/>
        <w:sectPr>
          <w:pgSz w:w="11906" w:h="16838"/>
          <w:pgMar w:top="1440" w:right="1800" w:bottom="1440" w:left="1800" w:header="851" w:footer="992" w:gutter="0"/>
          <w:cols w:space="425" w:num="1"/>
          <w:docGrid w:type="lines" w:linePitch="312" w:charSpace="0"/>
        </w:sectPr>
      </w:pPr>
    </w:p>
    <w:p>
      <w:pPr>
        <w:pStyle w:val="3"/>
        <w:spacing w:before="156" w:after="156"/>
        <w:rPr>
          <w:rFonts w:ascii="Arial" w:hAnsi="Arial"/>
        </w:rPr>
      </w:pPr>
      <w:bookmarkStart w:id="375" w:name="_Toc492850147"/>
      <w:r>
        <w:rPr>
          <w:rFonts w:hint="eastAsia" w:ascii="Arial" w:hAnsi="Arial"/>
        </w:rPr>
        <w:t>附表</w:t>
      </w:r>
      <w:r>
        <w:rPr>
          <w:rFonts w:ascii="Arial" w:hAnsi="Arial"/>
        </w:rPr>
        <w:t>8</w:t>
      </w:r>
      <w:r>
        <w:rPr>
          <w:rFonts w:hint="eastAsia" w:ascii="Arial" w:hAnsi="Arial"/>
        </w:rPr>
        <w:t>：晋中市域森林公园一览表</w:t>
      </w:r>
      <w:bookmarkEnd w:id="375"/>
    </w:p>
    <w:tbl>
      <w:tblPr>
        <w:tblStyle w:val="55"/>
        <w:tblW w:w="83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4"/>
        <w:gridCol w:w="1603"/>
        <w:gridCol w:w="1073"/>
        <w:gridCol w:w="980"/>
        <w:gridCol w:w="1244"/>
        <w:gridCol w:w="1786"/>
        <w:gridCol w:w="11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0" w:hRule="atLeast"/>
          <w:jc w:val="center"/>
        </w:trPr>
        <w:tc>
          <w:tcPr>
            <w:tcW w:w="564" w:type="dxa"/>
            <w:vAlign w:val="center"/>
          </w:tcPr>
          <w:p>
            <w:pPr>
              <w:adjustRightInd w:val="0"/>
              <w:spacing w:beforeLines="0" w:line="0" w:lineRule="atLeast"/>
              <w:ind w:left="72" w:leftChars="30"/>
              <w:jc w:val="center"/>
              <w:rPr>
                <w:b/>
                <w:sz w:val="21"/>
                <w:szCs w:val="21"/>
              </w:rPr>
            </w:pPr>
            <w:r>
              <w:rPr>
                <w:rFonts w:hint="eastAsia"/>
                <w:b/>
                <w:sz w:val="21"/>
                <w:szCs w:val="21"/>
              </w:rPr>
              <w:t>序号</w:t>
            </w:r>
          </w:p>
        </w:tc>
        <w:tc>
          <w:tcPr>
            <w:tcW w:w="1603" w:type="dxa"/>
            <w:vAlign w:val="center"/>
          </w:tcPr>
          <w:p>
            <w:pPr>
              <w:adjustRightInd w:val="0"/>
              <w:spacing w:beforeLines="0" w:line="0" w:lineRule="atLeast"/>
              <w:ind w:left="72" w:leftChars="30"/>
              <w:jc w:val="center"/>
              <w:rPr>
                <w:b/>
                <w:sz w:val="21"/>
                <w:szCs w:val="21"/>
              </w:rPr>
            </w:pPr>
            <w:r>
              <w:rPr>
                <w:rFonts w:hint="eastAsia"/>
                <w:b/>
                <w:sz w:val="21"/>
                <w:szCs w:val="21"/>
              </w:rPr>
              <w:t>公园名称</w:t>
            </w:r>
          </w:p>
        </w:tc>
        <w:tc>
          <w:tcPr>
            <w:tcW w:w="1073" w:type="dxa"/>
            <w:vAlign w:val="center"/>
          </w:tcPr>
          <w:p>
            <w:pPr>
              <w:adjustRightInd w:val="0"/>
              <w:spacing w:beforeLines="0" w:line="0" w:lineRule="atLeast"/>
              <w:ind w:left="72" w:leftChars="30"/>
              <w:jc w:val="center"/>
              <w:rPr>
                <w:b/>
                <w:sz w:val="21"/>
                <w:szCs w:val="21"/>
              </w:rPr>
            </w:pPr>
            <w:r>
              <w:rPr>
                <w:rFonts w:hint="eastAsia"/>
                <w:b/>
                <w:sz w:val="21"/>
                <w:szCs w:val="21"/>
              </w:rPr>
              <w:t>所在地点名称</w:t>
            </w:r>
          </w:p>
        </w:tc>
        <w:tc>
          <w:tcPr>
            <w:tcW w:w="980" w:type="dxa"/>
            <w:vAlign w:val="center"/>
          </w:tcPr>
          <w:p>
            <w:pPr>
              <w:adjustRightInd w:val="0"/>
              <w:spacing w:beforeLines="0" w:line="0" w:lineRule="atLeast"/>
              <w:ind w:left="72" w:leftChars="30"/>
              <w:jc w:val="center"/>
              <w:rPr>
                <w:b/>
                <w:sz w:val="21"/>
                <w:szCs w:val="21"/>
              </w:rPr>
            </w:pPr>
            <w:r>
              <w:rPr>
                <w:rFonts w:hint="eastAsia"/>
                <w:b/>
                <w:sz w:val="21"/>
                <w:szCs w:val="21"/>
              </w:rPr>
              <w:t>批准机关</w:t>
            </w:r>
          </w:p>
        </w:tc>
        <w:tc>
          <w:tcPr>
            <w:tcW w:w="1244" w:type="dxa"/>
            <w:vAlign w:val="center"/>
          </w:tcPr>
          <w:p>
            <w:pPr>
              <w:adjustRightInd w:val="0"/>
              <w:spacing w:beforeLines="0" w:line="0" w:lineRule="atLeast"/>
              <w:ind w:left="72" w:leftChars="30"/>
              <w:jc w:val="center"/>
              <w:rPr>
                <w:b/>
                <w:sz w:val="21"/>
                <w:szCs w:val="21"/>
              </w:rPr>
            </w:pPr>
            <w:r>
              <w:rPr>
                <w:rFonts w:hint="eastAsia"/>
                <w:b/>
                <w:sz w:val="21"/>
                <w:szCs w:val="21"/>
              </w:rPr>
              <w:t>批准时间</w:t>
            </w:r>
          </w:p>
        </w:tc>
        <w:tc>
          <w:tcPr>
            <w:tcW w:w="1786" w:type="dxa"/>
            <w:vAlign w:val="center"/>
          </w:tcPr>
          <w:p>
            <w:pPr>
              <w:adjustRightInd w:val="0"/>
              <w:spacing w:beforeLines="0" w:line="0" w:lineRule="atLeast"/>
              <w:ind w:left="72" w:leftChars="30"/>
              <w:jc w:val="center"/>
              <w:rPr>
                <w:b/>
                <w:sz w:val="21"/>
                <w:szCs w:val="21"/>
              </w:rPr>
            </w:pPr>
            <w:r>
              <w:rPr>
                <w:rFonts w:hint="eastAsia"/>
                <w:b/>
                <w:sz w:val="21"/>
                <w:szCs w:val="21"/>
              </w:rPr>
              <w:t>位置</w:t>
            </w:r>
          </w:p>
        </w:tc>
        <w:tc>
          <w:tcPr>
            <w:tcW w:w="1110" w:type="dxa"/>
            <w:vAlign w:val="center"/>
          </w:tcPr>
          <w:p>
            <w:pPr>
              <w:adjustRightInd w:val="0"/>
              <w:spacing w:beforeLines="0" w:line="0" w:lineRule="atLeast"/>
              <w:ind w:left="72" w:leftChars="30"/>
              <w:jc w:val="center"/>
              <w:rPr>
                <w:b/>
                <w:sz w:val="21"/>
                <w:szCs w:val="21"/>
              </w:rPr>
            </w:pPr>
            <w:r>
              <w:rPr>
                <w:rFonts w:hint="eastAsia"/>
                <w:b/>
                <w:sz w:val="21"/>
                <w:szCs w:val="21"/>
              </w:rPr>
              <w:t>面积（</w:t>
            </w:r>
            <w:r>
              <w:rPr>
                <w:b/>
                <w:sz w:val="21"/>
                <w:szCs w:val="21"/>
              </w:rPr>
              <w:t>平方公里</w:t>
            </w:r>
            <w:r>
              <w:rPr>
                <w:rFonts w:hint="eastAsia"/>
                <w:b/>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0" w:hRule="atLeast"/>
          <w:jc w:val="center"/>
        </w:trPr>
        <w:tc>
          <w:tcPr>
            <w:tcW w:w="564" w:type="dxa"/>
            <w:vAlign w:val="center"/>
          </w:tcPr>
          <w:p>
            <w:pPr>
              <w:adjustRightInd w:val="0"/>
              <w:spacing w:beforeLines="0" w:line="0" w:lineRule="atLeast"/>
              <w:ind w:left="72" w:leftChars="30"/>
              <w:jc w:val="center"/>
              <w:rPr>
                <w:sz w:val="21"/>
                <w:szCs w:val="21"/>
              </w:rPr>
            </w:pPr>
            <w:r>
              <w:rPr>
                <w:rFonts w:hint="eastAsia"/>
                <w:sz w:val="21"/>
                <w:szCs w:val="21"/>
              </w:rPr>
              <w:t>1</w:t>
            </w:r>
          </w:p>
        </w:tc>
        <w:tc>
          <w:tcPr>
            <w:tcW w:w="1603" w:type="dxa"/>
            <w:vAlign w:val="center"/>
          </w:tcPr>
          <w:p>
            <w:pPr>
              <w:adjustRightInd w:val="0"/>
              <w:spacing w:beforeLines="0" w:line="0" w:lineRule="atLeast"/>
              <w:ind w:left="72" w:leftChars="30"/>
              <w:jc w:val="center"/>
              <w:rPr>
                <w:sz w:val="21"/>
                <w:szCs w:val="21"/>
              </w:rPr>
            </w:pPr>
            <w:r>
              <w:rPr>
                <w:rFonts w:hint="eastAsia"/>
                <w:sz w:val="21"/>
                <w:szCs w:val="21"/>
              </w:rPr>
              <w:t>云龙山森林公园</w:t>
            </w:r>
          </w:p>
        </w:tc>
        <w:tc>
          <w:tcPr>
            <w:tcW w:w="1073" w:type="dxa"/>
            <w:vAlign w:val="center"/>
          </w:tcPr>
          <w:p>
            <w:pPr>
              <w:adjustRightInd w:val="0"/>
              <w:spacing w:beforeLines="0" w:line="0" w:lineRule="atLeast"/>
              <w:ind w:left="72" w:leftChars="30"/>
              <w:jc w:val="center"/>
              <w:rPr>
                <w:sz w:val="21"/>
                <w:szCs w:val="21"/>
              </w:rPr>
            </w:pPr>
            <w:r>
              <w:rPr>
                <w:rFonts w:hint="eastAsia"/>
                <w:sz w:val="21"/>
                <w:szCs w:val="21"/>
              </w:rPr>
              <w:t>和顺县</w:t>
            </w:r>
          </w:p>
        </w:tc>
        <w:tc>
          <w:tcPr>
            <w:tcW w:w="980" w:type="dxa"/>
            <w:vAlign w:val="center"/>
          </w:tcPr>
          <w:p>
            <w:pPr>
              <w:adjustRightInd w:val="0"/>
              <w:spacing w:beforeLines="0" w:line="0" w:lineRule="atLeast"/>
              <w:ind w:left="72" w:leftChars="30"/>
              <w:jc w:val="center"/>
              <w:rPr>
                <w:sz w:val="21"/>
                <w:szCs w:val="21"/>
              </w:rPr>
            </w:pPr>
            <w:r>
              <w:rPr>
                <w:rFonts w:hint="eastAsia"/>
                <w:sz w:val="21"/>
                <w:szCs w:val="21"/>
              </w:rPr>
              <w:t>省林业厅</w:t>
            </w:r>
          </w:p>
        </w:tc>
        <w:tc>
          <w:tcPr>
            <w:tcW w:w="1244" w:type="dxa"/>
            <w:vAlign w:val="center"/>
          </w:tcPr>
          <w:p>
            <w:pPr>
              <w:adjustRightInd w:val="0"/>
              <w:spacing w:beforeLines="0" w:line="0" w:lineRule="atLeast"/>
              <w:ind w:left="72" w:leftChars="30"/>
              <w:jc w:val="center"/>
              <w:rPr>
                <w:sz w:val="21"/>
                <w:szCs w:val="21"/>
              </w:rPr>
            </w:pPr>
            <w:r>
              <w:rPr>
                <w:rFonts w:hint="eastAsia"/>
                <w:sz w:val="21"/>
                <w:szCs w:val="21"/>
              </w:rPr>
              <w:t>1994</w:t>
            </w:r>
          </w:p>
        </w:tc>
        <w:tc>
          <w:tcPr>
            <w:tcW w:w="1786" w:type="dxa"/>
            <w:vAlign w:val="center"/>
          </w:tcPr>
          <w:p>
            <w:pPr>
              <w:adjustRightInd w:val="0"/>
              <w:spacing w:beforeLines="0" w:line="0" w:lineRule="atLeast"/>
              <w:ind w:left="72" w:leftChars="30"/>
              <w:jc w:val="center"/>
              <w:rPr>
                <w:sz w:val="21"/>
                <w:szCs w:val="21"/>
              </w:rPr>
            </w:pPr>
            <w:r>
              <w:rPr>
                <w:rFonts w:hint="eastAsia"/>
                <w:sz w:val="21"/>
                <w:szCs w:val="21"/>
              </w:rPr>
              <w:t>和顺县</w:t>
            </w:r>
          </w:p>
        </w:tc>
        <w:tc>
          <w:tcPr>
            <w:tcW w:w="1110" w:type="dxa"/>
            <w:vAlign w:val="center"/>
          </w:tcPr>
          <w:p>
            <w:pPr>
              <w:adjustRightInd w:val="0"/>
              <w:spacing w:beforeLines="0" w:line="0" w:lineRule="atLeast"/>
              <w:ind w:left="72" w:leftChars="30"/>
              <w:jc w:val="center"/>
              <w:rPr>
                <w:sz w:val="21"/>
                <w:szCs w:val="21"/>
              </w:rPr>
            </w:pPr>
            <w:r>
              <w:rPr>
                <w:rFonts w:hint="eastAsia"/>
                <w:sz w:val="21"/>
                <w:szCs w:val="21"/>
                <w:lang w:val="en-US" w:eastAsia="zh-CN"/>
              </w:rPr>
              <w:t>3.33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0" w:hRule="atLeast"/>
          <w:jc w:val="center"/>
        </w:trPr>
        <w:tc>
          <w:tcPr>
            <w:tcW w:w="564" w:type="dxa"/>
            <w:vAlign w:val="center"/>
          </w:tcPr>
          <w:p>
            <w:pPr>
              <w:adjustRightInd w:val="0"/>
              <w:spacing w:beforeLines="0" w:line="0" w:lineRule="atLeast"/>
              <w:ind w:left="72" w:leftChars="30"/>
              <w:jc w:val="center"/>
              <w:rPr>
                <w:sz w:val="21"/>
                <w:szCs w:val="21"/>
              </w:rPr>
            </w:pPr>
            <w:r>
              <w:rPr>
                <w:rFonts w:hint="eastAsia"/>
                <w:sz w:val="21"/>
                <w:szCs w:val="21"/>
              </w:rPr>
              <w:t>2</w:t>
            </w:r>
          </w:p>
        </w:tc>
        <w:tc>
          <w:tcPr>
            <w:tcW w:w="1603" w:type="dxa"/>
            <w:vAlign w:val="center"/>
          </w:tcPr>
          <w:p>
            <w:pPr>
              <w:adjustRightInd w:val="0"/>
              <w:spacing w:beforeLines="0" w:line="0" w:lineRule="atLeast"/>
              <w:ind w:left="72" w:leftChars="30"/>
              <w:jc w:val="center"/>
              <w:rPr>
                <w:sz w:val="21"/>
                <w:szCs w:val="21"/>
              </w:rPr>
            </w:pPr>
            <w:r>
              <w:rPr>
                <w:rFonts w:hint="eastAsia"/>
                <w:sz w:val="21"/>
                <w:szCs w:val="21"/>
              </w:rPr>
              <w:t>龙泉森林公园</w:t>
            </w:r>
          </w:p>
        </w:tc>
        <w:tc>
          <w:tcPr>
            <w:tcW w:w="1073" w:type="dxa"/>
            <w:vAlign w:val="center"/>
          </w:tcPr>
          <w:p>
            <w:pPr>
              <w:adjustRightInd w:val="0"/>
              <w:spacing w:beforeLines="0" w:line="0" w:lineRule="atLeast"/>
              <w:ind w:left="72" w:leftChars="30"/>
              <w:jc w:val="center"/>
              <w:rPr>
                <w:sz w:val="21"/>
                <w:szCs w:val="21"/>
              </w:rPr>
            </w:pPr>
            <w:r>
              <w:rPr>
                <w:rFonts w:hint="eastAsia"/>
                <w:sz w:val="21"/>
                <w:szCs w:val="21"/>
              </w:rPr>
              <w:t>左权县</w:t>
            </w:r>
          </w:p>
        </w:tc>
        <w:tc>
          <w:tcPr>
            <w:tcW w:w="980" w:type="dxa"/>
            <w:vAlign w:val="center"/>
          </w:tcPr>
          <w:p>
            <w:pPr>
              <w:adjustRightInd w:val="0"/>
              <w:spacing w:beforeLines="0" w:line="0" w:lineRule="atLeast"/>
              <w:ind w:left="72" w:leftChars="30"/>
              <w:jc w:val="center"/>
              <w:rPr>
                <w:sz w:val="21"/>
                <w:szCs w:val="21"/>
              </w:rPr>
            </w:pPr>
            <w:r>
              <w:rPr>
                <w:rFonts w:hint="eastAsia"/>
                <w:sz w:val="21"/>
                <w:szCs w:val="21"/>
              </w:rPr>
              <w:t>林业部</w:t>
            </w:r>
          </w:p>
        </w:tc>
        <w:tc>
          <w:tcPr>
            <w:tcW w:w="1244" w:type="dxa"/>
            <w:vAlign w:val="center"/>
          </w:tcPr>
          <w:p>
            <w:pPr>
              <w:adjustRightInd w:val="0"/>
              <w:spacing w:beforeLines="0" w:line="0" w:lineRule="atLeast"/>
              <w:ind w:left="72" w:leftChars="30"/>
              <w:jc w:val="center"/>
              <w:rPr>
                <w:sz w:val="21"/>
                <w:szCs w:val="21"/>
              </w:rPr>
            </w:pPr>
            <w:r>
              <w:rPr>
                <w:rFonts w:hint="eastAsia"/>
                <w:sz w:val="21"/>
                <w:szCs w:val="21"/>
              </w:rPr>
              <w:t>1992</w:t>
            </w:r>
            <w:r>
              <w:rPr>
                <w:sz w:val="21"/>
                <w:szCs w:val="21"/>
              </w:rPr>
              <w:t>.9</w:t>
            </w:r>
          </w:p>
        </w:tc>
        <w:tc>
          <w:tcPr>
            <w:tcW w:w="1786" w:type="dxa"/>
            <w:vAlign w:val="center"/>
          </w:tcPr>
          <w:p>
            <w:pPr>
              <w:adjustRightInd w:val="0"/>
              <w:spacing w:beforeLines="0" w:line="0" w:lineRule="atLeast"/>
              <w:ind w:left="72" w:leftChars="30"/>
              <w:jc w:val="center"/>
              <w:rPr>
                <w:sz w:val="21"/>
                <w:szCs w:val="21"/>
              </w:rPr>
            </w:pPr>
            <w:r>
              <w:rPr>
                <w:rFonts w:hint="eastAsia"/>
                <w:sz w:val="21"/>
                <w:szCs w:val="21"/>
              </w:rPr>
              <w:t>左权县</w:t>
            </w:r>
          </w:p>
        </w:tc>
        <w:tc>
          <w:tcPr>
            <w:tcW w:w="1110" w:type="dxa"/>
            <w:vAlign w:val="center"/>
          </w:tcPr>
          <w:p>
            <w:pPr>
              <w:adjustRightInd w:val="0"/>
              <w:spacing w:beforeLines="0" w:line="0" w:lineRule="atLeast"/>
              <w:ind w:left="72" w:leftChars="30"/>
              <w:jc w:val="center"/>
              <w:rPr>
                <w:sz w:val="21"/>
                <w:szCs w:val="21"/>
              </w:rPr>
            </w:pPr>
            <w:r>
              <w:rPr>
                <w:rFonts w:hint="eastAsia"/>
                <w:sz w:val="21"/>
                <w:szCs w:val="21"/>
              </w:rPr>
              <w:t>2</w:t>
            </w:r>
            <w:r>
              <w:rPr>
                <w:rFonts w:hint="eastAsia"/>
                <w:sz w:val="21"/>
                <w:szCs w:val="21"/>
                <w:lang w:val="en-US" w:eastAsia="zh-CN"/>
              </w:rPr>
              <w:t>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0" w:hRule="atLeast"/>
          <w:jc w:val="center"/>
        </w:trPr>
        <w:tc>
          <w:tcPr>
            <w:tcW w:w="564" w:type="dxa"/>
            <w:vAlign w:val="center"/>
          </w:tcPr>
          <w:p>
            <w:pPr>
              <w:adjustRightInd w:val="0"/>
              <w:spacing w:beforeLines="0" w:line="0" w:lineRule="atLeast"/>
              <w:ind w:left="72" w:leftChars="30"/>
              <w:jc w:val="center"/>
              <w:rPr>
                <w:sz w:val="21"/>
                <w:szCs w:val="21"/>
              </w:rPr>
            </w:pPr>
            <w:r>
              <w:rPr>
                <w:sz w:val="21"/>
                <w:szCs w:val="21"/>
              </w:rPr>
              <w:t>3</w:t>
            </w:r>
          </w:p>
        </w:tc>
        <w:tc>
          <w:tcPr>
            <w:tcW w:w="1603" w:type="dxa"/>
            <w:vAlign w:val="center"/>
          </w:tcPr>
          <w:p>
            <w:pPr>
              <w:adjustRightInd w:val="0"/>
              <w:spacing w:beforeLines="0" w:line="0" w:lineRule="atLeast"/>
              <w:ind w:left="72" w:leftChars="30"/>
              <w:jc w:val="center"/>
              <w:rPr>
                <w:sz w:val="21"/>
                <w:szCs w:val="21"/>
              </w:rPr>
            </w:pPr>
            <w:r>
              <w:rPr>
                <w:rFonts w:hint="eastAsia"/>
                <w:sz w:val="21"/>
                <w:szCs w:val="21"/>
              </w:rPr>
              <w:t>方山森林公园</w:t>
            </w:r>
          </w:p>
        </w:tc>
        <w:tc>
          <w:tcPr>
            <w:tcW w:w="1073" w:type="dxa"/>
            <w:vAlign w:val="center"/>
          </w:tcPr>
          <w:p>
            <w:pPr>
              <w:adjustRightInd w:val="0"/>
              <w:spacing w:beforeLines="0" w:line="0" w:lineRule="atLeast"/>
              <w:ind w:left="72" w:leftChars="30"/>
              <w:jc w:val="center"/>
              <w:rPr>
                <w:sz w:val="21"/>
                <w:szCs w:val="21"/>
              </w:rPr>
            </w:pPr>
            <w:r>
              <w:rPr>
                <w:rFonts w:hint="eastAsia"/>
                <w:sz w:val="21"/>
                <w:szCs w:val="21"/>
              </w:rPr>
              <w:t>寿阳县</w:t>
            </w:r>
          </w:p>
        </w:tc>
        <w:tc>
          <w:tcPr>
            <w:tcW w:w="980" w:type="dxa"/>
            <w:vAlign w:val="center"/>
          </w:tcPr>
          <w:p>
            <w:pPr>
              <w:adjustRightInd w:val="0"/>
              <w:spacing w:beforeLines="0" w:line="0" w:lineRule="atLeast"/>
              <w:ind w:left="72" w:leftChars="30"/>
              <w:jc w:val="center"/>
              <w:rPr>
                <w:sz w:val="21"/>
                <w:szCs w:val="21"/>
              </w:rPr>
            </w:pPr>
            <w:r>
              <w:rPr>
                <w:rFonts w:hint="eastAsia"/>
                <w:sz w:val="21"/>
                <w:szCs w:val="21"/>
              </w:rPr>
              <w:t>林业部</w:t>
            </w:r>
          </w:p>
        </w:tc>
        <w:tc>
          <w:tcPr>
            <w:tcW w:w="1244" w:type="dxa"/>
            <w:vAlign w:val="center"/>
          </w:tcPr>
          <w:p>
            <w:pPr>
              <w:adjustRightInd w:val="0"/>
              <w:spacing w:beforeLines="0" w:line="0" w:lineRule="atLeast"/>
              <w:ind w:left="72" w:leftChars="30"/>
              <w:jc w:val="center"/>
              <w:rPr>
                <w:sz w:val="21"/>
                <w:szCs w:val="21"/>
              </w:rPr>
            </w:pPr>
            <w:r>
              <w:rPr>
                <w:rFonts w:hint="eastAsia"/>
                <w:sz w:val="21"/>
                <w:szCs w:val="21"/>
              </w:rPr>
              <w:t>1992.12</w:t>
            </w:r>
          </w:p>
        </w:tc>
        <w:tc>
          <w:tcPr>
            <w:tcW w:w="1786" w:type="dxa"/>
            <w:vAlign w:val="center"/>
          </w:tcPr>
          <w:p>
            <w:pPr>
              <w:adjustRightInd w:val="0"/>
              <w:spacing w:beforeLines="0" w:line="0" w:lineRule="atLeast"/>
              <w:ind w:left="72" w:leftChars="30"/>
              <w:jc w:val="center"/>
              <w:rPr>
                <w:sz w:val="21"/>
                <w:szCs w:val="21"/>
              </w:rPr>
            </w:pPr>
            <w:r>
              <w:rPr>
                <w:rFonts w:hint="eastAsia"/>
                <w:sz w:val="21"/>
                <w:szCs w:val="21"/>
              </w:rPr>
              <w:t>寿阳县</w:t>
            </w:r>
          </w:p>
        </w:tc>
        <w:tc>
          <w:tcPr>
            <w:tcW w:w="1110" w:type="dxa"/>
            <w:vAlign w:val="center"/>
          </w:tcPr>
          <w:p>
            <w:pPr>
              <w:adjustRightInd w:val="0"/>
              <w:spacing w:beforeLines="0" w:line="0" w:lineRule="atLeast"/>
              <w:ind w:left="72" w:leftChars="30"/>
              <w:jc w:val="center"/>
              <w:rPr>
                <w:sz w:val="21"/>
                <w:szCs w:val="21"/>
              </w:rPr>
            </w:pPr>
            <w:r>
              <w:rPr>
                <w:rFonts w:hint="eastAsia"/>
                <w:sz w:val="21"/>
                <w:szCs w:val="21"/>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0" w:hRule="atLeast"/>
          <w:jc w:val="center"/>
        </w:trPr>
        <w:tc>
          <w:tcPr>
            <w:tcW w:w="564" w:type="dxa"/>
            <w:vAlign w:val="center"/>
          </w:tcPr>
          <w:p>
            <w:pPr>
              <w:adjustRightInd w:val="0"/>
              <w:spacing w:beforeLines="0" w:line="0" w:lineRule="atLeast"/>
              <w:ind w:left="72" w:leftChars="30"/>
              <w:jc w:val="center"/>
              <w:rPr>
                <w:sz w:val="21"/>
                <w:szCs w:val="21"/>
              </w:rPr>
            </w:pPr>
            <w:r>
              <w:rPr>
                <w:rFonts w:hint="eastAsia"/>
                <w:sz w:val="21"/>
                <w:szCs w:val="21"/>
              </w:rPr>
              <w:t>4</w:t>
            </w:r>
          </w:p>
        </w:tc>
        <w:tc>
          <w:tcPr>
            <w:tcW w:w="1603" w:type="dxa"/>
            <w:vAlign w:val="center"/>
          </w:tcPr>
          <w:p>
            <w:pPr>
              <w:adjustRightInd w:val="0"/>
              <w:spacing w:beforeLines="0" w:line="0" w:lineRule="atLeast"/>
              <w:ind w:left="72" w:leftChars="30"/>
              <w:jc w:val="center"/>
              <w:rPr>
                <w:sz w:val="21"/>
                <w:szCs w:val="21"/>
              </w:rPr>
            </w:pPr>
            <w:r>
              <w:rPr>
                <w:rFonts w:hint="eastAsia"/>
                <w:sz w:val="21"/>
                <w:szCs w:val="21"/>
              </w:rPr>
              <w:t>乌金山森林公园</w:t>
            </w:r>
          </w:p>
        </w:tc>
        <w:tc>
          <w:tcPr>
            <w:tcW w:w="1073" w:type="dxa"/>
            <w:vAlign w:val="center"/>
          </w:tcPr>
          <w:p>
            <w:pPr>
              <w:adjustRightInd w:val="0"/>
              <w:spacing w:beforeLines="0" w:line="0" w:lineRule="atLeast"/>
              <w:ind w:left="72" w:leftChars="30"/>
              <w:jc w:val="center"/>
              <w:rPr>
                <w:sz w:val="21"/>
                <w:szCs w:val="21"/>
              </w:rPr>
            </w:pPr>
            <w:r>
              <w:rPr>
                <w:rFonts w:hint="eastAsia"/>
                <w:sz w:val="21"/>
                <w:szCs w:val="21"/>
              </w:rPr>
              <w:t>榆次区</w:t>
            </w:r>
          </w:p>
        </w:tc>
        <w:tc>
          <w:tcPr>
            <w:tcW w:w="980" w:type="dxa"/>
            <w:vAlign w:val="center"/>
          </w:tcPr>
          <w:p>
            <w:pPr>
              <w:adjustRightInd w:val="0"/>
              <w:spacing w:beforeLines="0" w:line="0" w:lineRule="atLeast"/>
              <w:ind w:left="72" w:leftChars="30"/>
              <w:jc w:val="center"/>
              <w:rPr>
                <w:sz w:val="21"/>
                <w:szCs w:val="21"/>
              </w:rPr>
            </w:pPr>
            <w:r>
              <w:rPr>
                <w:rFonts w:hint="eastAsia"/>
                <w:sz w:val="21"/>
                <w:szCs w:val="21"/>
              </w:rPr>
              <w:t>林业部</w:t>
            </w:r>
          </w:p>
        </w:tc>
        <w:tc>
          <w:tcPr>
            <w:tcW w:w="1244" w:type="dxa"/>
            <w:vAlign w:val="center"/>
          </w:tcPr>
          <w:p>
            <w:pPr>
              <w:adjustRightInd w:val="0"/>
              <w:spacing w:beforeLines="0" w:line="0" w:lineRule="atLeast"/>
              <w:ind w:left="72" w:leftChars="30"/>
              <w:jc w:val="center"/>
              <w:rPr>
                <w:rFonts w:hint="eastAsia" w:eastAsia="宋体"/>
                <w:sz w:val="21"/>
                <w:szCs w:val="21"/>
                <w:lang w:val="en-US" w:eastAsia="zh-CN"/>
              </w:rPr>
            </w:pPr>
            <w:r>
              <w:rPr>
                <w:rFonts w:hint="eastAsia"/>
                <w:sz w:val="21"/>
                <w:szCs w:val="21"/>
                <w:lang w:val="en-US" w:eastAsia="zh-CN"/>
              </w:rPr>
              <w:t>1993</w:t>
            </w:r>
          </w:p>
        </w:tc>
        <w:tc>
          <w:tcPr>
            <w:tcW w:w="1786" w:type="dxa"/>
            <w:vAlign w:val="center"/>
          </w:tcPr>
          <w:p>
            <w:pPr>
              <w:adjustRightInd w:val="0"/>
              <w:spacing w:beforeLines="0" w:line="0" w:lineRule="atLeast"/>
              <w:ind w:left="72" w:leftChars="30"/>
              <w:jc w:val="center"/>
              <w:rPr>
                <w:sz w:val="21"/>
                <w:szCs w:val="21"/>
              </w:rPr>
            </w:pPr>
            <w:r>
              <w:rPr>
                <w:rFonts w:hint="eastAsia"/>
                <w:sz w:val="21"/>
                <w:szCs w:val="21"/>
              </w:rPr>
              <w:t>榆次区</w:t>
            </w:r>
          </w:p>
        </w:tc>
        <w:tc>
          <w:tcPr>
            <w:tcW w:w="1110" w:type="dxa"/>
            <w:vAlign w:val="center"/>
          </w:tcPr>
          <w:p>
            <w:pPr>
              <w:adjustRightInd w:val="0"/>
              <w:spacing w:beforeLines="0" w:line="0" w:lineRule="atLeast"/>
              <w:ind w:left="72" w:leftChars="30"/>
              <w:jc w:val="center"/>
              <w:rPr>
                <w:rFonts w:hint="eastAsia" w:eastAsia="宋体"/>
                <w:sz w:val="21"/>
                <w:szCs w:val="21"/>
                <w:lang w:val="en-US" w:eastAsia="zh-CN"/>
              </w:rPr>
            </w:pPr>
            <w:r>
              <w:rPr>
                <w:rFonts w:hint="eastAsia"/>
                <w:sz w:val="21"/>
                <w:szCs w:val="21"/>
                <w:lang w:val="en-US" w:eastAsia="zh-CN"/>
              </w:rPr>
              <w:t>36.67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0" w:hRule="atLeast"/>
          <w:jc w:val="center"/>
        </w:trPr>
        <w:tc>
          <w:tcPr>
            <w:tcW w:w="564" w:type="dxa"/>
            <w:vAlign w:val="center"/>
          </w:tcPr>
          <w:p>
            <w:pPr>
              <w:adjustRightInd w:val="0"/>
              <w:spacing w:beforeLines="0" w:line="0" w:lineRule="atLeast"/>
              <w:ind w:left="72" w:leftChars="30"/>
              <w:jc w:val="center"/>
              <w:rPr>
                <w:sz w:val="21"/>
                <w:szCs w:val="21"/>
              </w:rPr>
            </w:pPr>
            <w:r>
              <w:rPr>
                <w:rFonts w:hint="eastAsia"/>
                <w:sz w:val="21"/>
                <w:szCs w:val="21"/>
              </w:rPr>
              <w:t>5</w:t>
            </w:r>
          </w:p>
        </w:tc>
        <w:tc>
          <w:tcPr>
            <w:tcW w:w="1603" w:type="dxa"/>
            <w:vAlign w:val="center"/>
          </w:tcPr>
          <w:p>
            <w:pPr>
              <w:adjustRightInd w:val="0"/>
              <w:spacing w:beforeLines="0" w:line="0" w:lineRule="atLeast"/>
              <w:ind w:left="72" w:leftChars="30"/>
              <w:jc w:val="center"/>
              <w:rPr>
                <w:sz w:val="21"/>
                <w:szCs w:val="21"/>
              </w:rPr>
            </w:pPr>
            <w:r>
              <w:rPr>
                <w:rFonts w:hint="eastAsia"/>
                <w:sz w:val="21"/>
                <w:szCs w:val="21"/>
              </w:rPr>
              <w:t>大寨</w:t>
            </w:r>
            <w:r>
              <w:rPr>
                <w:rFonts w:hint="eastAsia"/>
                <w:sz w:val="21"/>
                <w:szCs w:val="21"/>
                <w:lang w:eastAsia="zh-CN"/>
              </w:rPr>
              <w:t>（</w:t>
            </w:r>
            <w:r>
              <w:rPr>
                <w:rFonts w:hint="eastAsia"/>
                <w:sz w:val="21"/>
                <w:szCs w:val="21"/>
                <w:lang w:val="en-US" w:eastAsia="zh-CN"/>
              </w:rPr>
              <w:t>虎头山</w:t>
            </w:r>
            <w:r>
              <w:rPr>
                <w:rFonts w:hint="eastAsia"/>
                <w:sz w:val="21"/>
                <w:szCs w:val="21"/>
                <w:lang w:eastAsia="zh-CN"/>
              </w:rPr>
              <w:t>）</w:t>
            </w:r>
            <w:r>
              <w:rPr>
                <w:rFonts w:hint="eastAsia"/>
                <w:sz w:val="21"/>
                <w:szCs w:val="21"/>
              </w:rPr>
              <w:t>森林公园</w:t>
            </w:r>
          </w:p>
        </w:tc>
        <w:tc>
          <w:tcPr>
            <w:tcW w:w="1073" w:type="dxa"/>
            <w:vAlign w:val="center"/>
          </w:tcPr>
          <w:p>
            <w:pPr>
              <w:adjustRightInd w:val="0"/>
              <w:spacing w:beforeLines="0" w:line="0" w:lineRule="atLeast"/>
              <w:ind w:left="72" w:leftChars="30"/>
              <w:jc w:val="center"/>
              <w:rPr>
                <w:sz w:val="21"/>
                <w:szCs w:val="21"/>
              </w:rPr>
            </w:pPr>
            <w:r>
              <w:rPr>
                <w:rFonts w:hint="eastAsia"/>
                <w:sz w:val="21"/>
                <w:szCs w:val="21"/>
              </w:rPr>
              <w:t>昔阳县</w:t>
            </w:r>
          </w:p>
        </w:tc>
        <w:tc>
          <w:tcPr>
            <w:tcW w:w="980" w:type="dxa"/>
            <w:vAlign w:val="center"/>
          </w:tcPr>
          <w:p>
            <w:pPr>
              <w:adjustRightInd w:val="0"/>
              <w:spacing w:beforeLines="0" w:line="0" w:lineRule="atLeast"/>
              <w:ind w:left="72" w:leftChars="30"/>
              <w:jc w:val="center"/>
              <w:rPr>
                <w:sz w:val="21"/>
                <w:szCs w:val="21"/>
              </w:rPr>
            </w:pPr>
            <w:r>
              <w:rPr>
                <w:rFonts w:hint="eastAsia"/>
                <w:sz w:val="21"/>
                <w:szCs w:val="21"/>
                <w:lang w:val="en-US" w:eastAsia="zh-CN"/>
              </w:rPr>
              <w:t>省</w:t>
            </w:r>
            <w:r>
              <w:rPr>
                <w:rFonts w:hint="eastAsia"/>
                <w:sz w:val="21"/>
                <w:szCs w:val="21"/>
              </w:rPr>
              <w:t>林业</w:t>
            </w:r>
            <w:r>
              <w:rPr>
                <w:rFonts w:hint="eastAsia"/>
                <w:sz w:val="21"/>
                <w:szCs w:val="21"/>
                <w:lang w:val="en-US" w:eastAsia="zh-CN"/>
              </w:rPr>
              <w:t>厅</w:t>
            </w:r>
          </w:p>
        </w:tc>
        <w:tc>
          <w:tcPr>
            <w:tcW w:w="1244" w:type="dxa"/>
            <w:vAlign w:val="center"/>
          </w:tcPr>
          <w:p>
            <w:pPr>
              <w:adjustRightInd w:val="0"/>
              <w:spacing w:beforeLines="0" w:line="0" w:lineRule="atLeast"/>
              <w:ind w:left="72" w:leftChars="30"/>
              <w:jc w:val="center"/>
              <w:rPr>
                <w:rFonts w:hint="eastAsia" w:eastAsia="宋体"/>
                <w:sz w:val="21"/>
                <w:szCs w:val="21"/>
                <w:lang w:val="en-US" w:eastAsia="zh-CN"/>
              </w:rPr>
            </w:pPr>
            <w:r>
              <w:rPr>
                <w:rFonts w:hint="eastAsia"/>
                <w:sz w:val="21"/>
                <w:szCs w:val="21"/>
                <w:lang w:val="en-US" w:eastAsia="zh-CN"/>
              </w:rPr>
              <w:t>1995</w:t>
            </w:r>
          </w:p>
        </w:tc>
        <w:tc>
          <w:tcPr>
            <w:tcW w:w="1786" w:type="dxa"/>
            <w:vAlign w:val="center"/>
          </w:tcPr>
          <w:p>
            <w:pPr>
              <w:adjustRightInd w:val="0"/>
              <w:spacing w:beforeLines="0" w:line="0" w:lineRule="atLeast"/>
              <w:ind w:left="72" w:leftChars="30"/>
              <w:jc w:val="center"/>
              <w:rPr>
                <w:sz w:val="21"/>
                <w:szCs w:val="21"/>
              </w:rPr>
            </w:pPr>
            <w:r>
              <w:rPr>
                <w:rFonts w:hint="eastAsia"/>
                <w:sz w:val="21"/>
                <w:szCs w:val="21"/>
              </w:rPr>
              <w:t>昔阳县</w:t>
            </w:r>
          </w:p>
        </w:tc>
        <w:tc>
          <w:tcPr>
            <w:tcW w:w="1110" w:type="dxa"/>
            <w:vAlign w:val="center"/>
          </w:tcPr>
          <w:p>
            <w:pPr>
              <w:adjustRightInd w:val="0"/>
              <w:spacing w:beforeLines="0" w:line="0" w:lineRule="atLeast"/>
              <w:ind w:left="72" w:leftChars="30"/>
              <w:jc w:val="center"/>
              <w:rPr>
                <w:rFonts w:hint="eastAsia" w:eastAsia="宋体"/>
                <w:sz w:val="21"/>
                <w:szCs w:val="21"/>
                <w:lang w:val="en-US" w:eastAsia="zh-CN"/>
              </w:rPr>
            </w:pPr>
            <w:r>
              <w:rPr>
                <w:rFonts w:hint="eastAsia"/>
                <w:sz w:val="21"/>
                <w:szCs w:val="21"/>
                <w:lang w:val="en-US" w:eastAsia="zh-CN"/>
              </w:rPr>
              <w:t>8.67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0" w:hRule="atLeast"/>
          <w:jc w:val="center"/>
        </w:trPr>
        <w:tc>
          <w:tcPr>
            <w:tcW w:w="564" w:type="dxa"/>
            <w:vAlign w:val="center"/>
          </w:tcPr>
          <w:p>
            <w:pPr>
              <w:adjustRightInd w:val="0"/>
              <w:spacing w:beforeLines="0" w:line="0" w:lineRule="atLeast"/>
              <w:ind w:left="72" w:leftChars="30"/>
              <w:jc w:val="center"/>
              <w:rPr>
                <w:sz w:val="21"/>
                <w:szCs w:val="21"/>
              </w:rPr>
            </w:pPr>
            <w:r>
              <w:rPr>
                <w:rFonts w:hint="eastAsia"/>
                <w:sz w:val="21"/>
                <w:szCs w:val="21"/>
              </w:rPr>
              <w:t>6</w:t>
            </w:r>
          </w:p>
        </w:tc>
        <w:tc>
          <w:tcPr>
            <w:tcW w:w="1603" w:type="dxa"/>
            <w:vAlign w:val="center"/>
          </w:tcPr>
          <w:p>
            <w:pPr>
              <w:adjustRightInd w:val="0"/>
              <w:spacing w:beforeLines="0" w:line="0" w:lineRule="atLeast"/>
              <w:ind w:left="72" w:leftChars="30"/>
              <w:jc w:val="center"/>
              <w:rPr>
                <w:sz w:val="21"/>
                <w:szCs w:val="21"/>
              </w:rPr>
            </w:pPr>
            <w:r>
              <w:rPr>
                <w:rFonts w:hint="eastAsia"/>
                <w:sz w:val="21"/>
                <w:szCs w:val="21"/>
                <w:lang w:val="en-US" w:eastAsia="zh-CN"/>
              </w:rPr>
              <w:t>介休</w:t>
            </w:r>
            <w:r>
              <w:rPr>
                <w:rFonts w:hint="eastAsia"/>
                <w:sz w:val="21"/>
                <w:szCs w:val="21"/>
              </w:rPr>
              <w:t>森林公园</w:t>
            </w:r>
          </w:p>
        </w:tc>
        <w:tc>
          <w:tcPr>
            <w:tcW w:w="1073" w:type="dxa"/>
            <w:vAlign w:val="center"/>
          </w:tcPr>
          <w:p>
            <w:pPr>
              <w:adjustRightInd w:val="0"/>
              <w:spacing w:beforeLines="0" w:line="0" w:lineRule="atLeast"/>
              <w:ind w:left="72" w:leftChars="30"/>
              <w:jc w:val="center"/>
              <w:rPr>
                <w:sz w:val="21"/>
                <w:szCs w:val="21"/>
              </w:rPr>
            </w:pPr>
            <w:r>
              <w:rPr>
                <w:rFonts w:hint="eastAsia"/>
                <w:sz w:val="21"/>
                <w:szCs w:val="21"/>
              </w:rPr>
              <w:t>介休市</w:t>
            </w:r>
          </w:p>
        </w:tc>
        <w:tc>
          <w:tcPr>
            <w:tcW w:w="980" w:type="dxa"/>
            <w:vAlign w:val="center"/>
          </w:tcPr>
          <w:p>
            <w:pPr>
              <w:pStyle w:val="32"/>
              <w:pBdr>
                <w:bottom w:val="none" w:color="auto" w:sz="0" w:space="0"/>
              </w:pBdr>
              <w:tabs>
                <w:tab w:val="clear" w:pos="4153"/>
                <w:tab w:val="clear" w:pos="8306"/>
              </w:tabs>
              <w:adjustRightInd w:val="0"/>
              <w:snapToGrid/>
              <w:spacing w:beforeLines="0" w:line="0" w:lineRule="atLeast"/>
              <w:ind w:left="72" w:leftChars="30"/>
              <w:rPr>
                <w:sz w:val="21"/>
                <w:szCs w:val="21"/>
              </w:rPr>
            </w:pPr>
            <w:r>
              <w:rPr>
                <w:rFonts w:hint="eastAsia"/>
                <w:sz w:val="21"/>
                <w:szCs w:val="21"/>
                <w:lang w:val="en-US" w:eastAsia="zh-CN"/>
              </w:rPr>
              <w:t>省</w:t>
            </w:r>
            <w:r>
              <w:rPr>
                <w:rFonts w:hint="eastAsia"/>
                <w:sz w:val="21"/>
                <w:szCs w:val="21"/>
              </w:rPr>
              <w:t>林业</w:t>
            </w:r>
            <w:r>
              <w:rPr>
                <w:rFonts w:hint="eastAsia"/>
                <w:sz w:val="21"/>
                <w:szCs w:val="21"/>
                <w:lang w:val="en-US" w:eastAsia="zh-CN"/>
              </w:rPr>
              <w:t>厅</w:t>
            </w:r>
          </w:p>
        </w:tc>
        <w:tc>
          <w:tcPr>
            <w:tcW w:w="1244" w:type="dxa"/>
            <w:vAlign w:val="center"/>
          </w:tcPr>
          <w:p>
            <w:pPr>
              <w:adjustRightInd w:val="0"/>
              <w:spacing w:beforeLines="0" w:line="0" w:lineRule="atLeast"/>
              <w:ind w:left="72" w:leftChars="30"/>
              <w:jc w:val="center"/>
              <w:rPr>
                <w:rFonts w:hint="eastAsia" w:eastAsia="宋体"/>
                <w:sz w:val="21"/>
                <w:szCs w:val="21"/>
                <w:lang w:val="en-US" w:eastAsia="zh-CN"/>
              </w:rPr>
            </w:pPr>
            <w:r>
              <w:rPr>
                <w:rFonts w:hint="eastAsia"/>
                <w:sz w:val="21"/>
                <w:szCs w:val="21"/>
                <w:lang w:val="en-US" w:eastAsia="zh-CN"/>
              </w:rPr>
              <w:t>1998</w:t>
            </w:r>
          </w:p>
        </w:tc>
        <w:tc>
          <w:tcPr>
            <w:tcW w:w="1786" w:type="dxa"/>
            <w:vAlign w:val="center"/>
          </w:tcPr>
          <w:p>
            <w:pPr>
              <w:adjustRightInd w:val="0"/>
              <w:spacing w:beforeLines="0" w:line="0" w:lineRule="atLeast"/>
              <w:ind w:left="72" w:leftChars="30"/>
              <w:jc w:val="center"/>
              <w:rPr>
                <w:sz w:val="21"/>
                <w:szCs w:val="21"/>
              </w:rPr>
            </w:pPr>
            <w:r>
              <w:rPr>
                <w:rFonts w:hint="eastAsia"/>
                <w:sz w:val="21"/>
                <w:szCs w:val="21"/>
              </w:rPr>
              <w:t>介休市</w:t>
            </w:r>
          </w:p>
        </w:tc>
        <w:tc>
          <w:tcPr>
            <w:tcW w:w="1110" w:type="dxa"/>
            <w:vAlign w:val="center"/>
          </w:tcPr>
          <w:p>
            <w:pPr>
              <w:adjustRightInd w:val="0"/>
              <w:spacing w:beforeLines="0" w:line="0" w:lineRule="atLeast"/>
              <w:ind w:left="72" w:leftChars="30"/>
              <w:jc w:val="center"/>
              <w:rPr>
                <w:rFonts w:hint="eastAsia" w:eastAsia="宋体"/>
                <w:sz w:val="21"/>
                <w:szCs w:val="21"/>
                <w:lang w:val="en-US" w:eastAsia="zh-CN"/>
              </w:rPr>
            </w:pPr>
            <w:r>
              <w:rPr>
                <w:rFonts w:hint="eastAsia"/>
                <w:sz w:val="21"/>
                <w:szCs w:val="21"/>
                <w:lang w:val="en-US" w:eastAsia="zh-CN"/>
              </w:rPr>
              <w:t>6.67</w:t>
            </w:r>
          </w:p>
        </w:tc>
      </w:tr>
    </w:tbl>
    <w:p>
      <w:pPr>
        <w:spacing w:before="156"/>
        <w:rPr>
          <w:rFonts w:ascii="宋体" w:hAnsi="宋体" w:cs="Courier New"/>
          <w:b/>
          <w:sz w:val="30"/>
          <w:szCs w:val="30"/>
        </w:rPr>
      </w:pPr>
    </w:p>
    <w:p>
      <w:pPr>
        <w:pStyle w:val="3"/>
        <w:spacing w:before="156" w:after="156"/>
        <w:rPr>
          <w:rFonts w:ascii="Arial" w:hAnsi="Arial"/>
        </w:rPr>
      </w:pPr>
      <w:bookmarkStart w:id="376" w:name="_Toc492850148"/>
      <w:r>
        <w:rPr>
          <w:rFonts w:hint="eastAsia" w:ascii="Arial" w:hAnsi="Arial"/>
        </w:rPr>
        <w:t>附表</w:t>
      </w:r>
      <w:r>
        <w:rPr>
          <w:rFonts w:ascii="Arial" w:hAnsi="Arial"/>
        </w:rPr>
        <w:t>9</w:t>
      </w:r>
      <w:r>
        <w:rPr>
          <w:rFonts w:hint="eastAsia" w:ascii="Arial" w:hAnsi="Arial"/>
        </w:rPr>
        <w:t>：晋中市域历史文化名镇（村）一览表</w:t>
      </w:r>
      <w:bookmarkEnd w:id="376"/>
    </w:p>
    <w:tbl>
      <w:tblPr>
        <w:tblStyle w:val="55"/>
        <w:tblW w:w="832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0"/>
        <w:gridCol w:w="1418"/>
        <w:gridCol w:w="56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1240" w:type="dxa"/>
            <w:shd w:val="clear" w:color="auto" w:fill="auto"/>
            <w:vAlign w:val="center"/>
          </w:tcPr>
          <w:p>
            <w:pPr>
              <w:pStyle w:val="112"/>
              <w:spacing w:beforeLines="0" w:after="0" w:line="0" w:lineRule="atLeast"/>
              <w:ind w:left="0" w:leftChars="0"/>
              <w:jc w:val="center"/>
              <w:rPr>
                <w:b/>
              </w:rPr>
            </w:pPr>
            <w:r>
              <w:rPr>
                <w:rFonts w:hint="eastAsia"/>
                <w:b/>
              </w:rPr>
              <w:t>所属县区</w:t>
            </w:r>
          </w:p>
        </w:tc>
        <w:tc>
          <w:tcPr>
            <w:tcW w:w="1418" w:type="dxa"/>
            <w:vAlign w:val="center"/>
          </w:tcPr>
          <w:p>
            <w:pPr>
              <w:pStyle w:val="112"/>
              <w:spacing w:beforeLines="0" w:after="0" w:line="0" w:lineRule="atLeast"/>
              <w:ind w:left="0" w:leftChars="0"/>
              <w:jc w:val="center"/>
              <w:rPr>
                <w:b/>
              </w:rPr>
            </w:pPr>
            <w:r>
              <w:rPr>
                <w:rFonts w:hint="eastAsia"/>
                <w:b/>
              </w:rPr>
              <w:t>级别</w:t>
            </w:r>
          </w:p>
        </w:tc>
        <w:tc>
          <w:tcPr>
            <w:tcW w:w="5665" w:type="dxa"/>
            <w:shd w:val="clear" w:color="auto" w:fill="auto"/>
            <w:vAlign w:val="center"/>
          </w:tcPr>
          <w:p>
            <w:pPr>
              <w:pStyle w:val="112"/>
              <w:spacing w:beforeLines="0" w:after="0" w:line="0" w:lineRule="atLeast"/>
              <w:ind w:left="0" w:leftChars="0"/>
              <w:jc w:val="center"/>
              <w:rPr>
                <w:b/>
              </w:rPr>
            </w:pPr>
            <w:r>
              <w:rPr>
                <w:rFonts w:hint="eastAsia"/>
                <w:b/>
              </w:rPr>
              <w:t>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vMerge w:val="restart"/>
            <w:shd w:val="clear" w:color="auto" w:fill="auto"/>
            <w:vAlign w:val="center"/>
          </w:tcPr>
          <w:p>
            <w:pPr>
              <w:pStyle w:val="112"/>
              <w:spacing w:beforeLines="0" w:after="0" w:line="0" w:lineRule="atLeast"/>
              <w:ind w:left="0" w:leftChars="0"/>
              <w:jc w:val="center"/>
            </w:pPr>
            <w:r>
              <w:rPr>
                <w:rFonts w:hint="eastAsia"/>
              </w:rPr>
              <w:t>灵石县</w:t>
            </w:r>
          </w:p>
        </w:tc>
        <w:tc>
          <w:tcPr>
            <w:tcW w:w="1418" w:type="dxa"/>
            <w:vAlign w:val="center"/>
          </w:tcPr>
          <w:p>
            <w:pPr>
              <w:pStyle w:val="112"/>
              <w:spacing w:beforeLines="0" w:after="0" w:line="0" w:lineRule="atLeast"/>
              <w:ind w:left="0" w:leftChars="0"/>
              <w:jc w:val="center"/>
            </w:pPr>
            <w:r>
              <w:rPr>
                <w:rFonts w:hint="eastAsia"/>
              </w:rPr>
              <w:t>国家级</w:t>
            </w:r>
          </w:p>
        </w:tc>
        <w:tc>
          <w:tcPr>
            <w:tcW w:w="5665" w:type="dxa"/>
            <w:shd w:val="clear" w:color="auto" w:fill="auto"/>
            <w:vAlign w:val="center"/>
          </w:tcPr>
          <w:p>
            <w:pPr>
              <w:pStyle w:val="112"/>
              <w:spacing w:beforeLines="0" w:after="0" w:line="0" w:lineRule="atLeast"/>
              <w:ind w:left="0" w:leftChars="0"/>
              <w:jc w:val="center"/>
            </w:pPr>
            <w:r>
              <w:rPr>
                <w:rFonts w:hint="eastAsia"/>
              </w:rPr>
              <w:t>静升镇、夏门村、冷泉村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vMerge w:val="continue"/>
            <w:shd w:val="clear" w:color="auto" w:fill="auto"/>
            <w:vAlign w:val="center"/>
          </w:tcPr>
          <w:p>
            <w:pPr>
              <w:pStyle w:val="112"/>
              <w:spacing w:beforeLines="0" w:after="0" w:line="0" w:lineRule="atLeast"/>
              <w:ind w:left="0" w:leftChars="0"/>
              <w:jc w:val="center"/>
            </w:pPr>
          </w:p>
        </w:tc>
        <w:tc>
          <w:tcPr>
            <w:tcW w:w="1418" w:type="dxa"/>
            <w:vAlign w:val="center"/>
          </w:tcPr>
          <w:p>
            <w:pPr>
              <w:pStyle w:val="112"/>
              <w:spacing w:beforeLines="0" w:after="0" w:line="0" w:lineRule="atLeast"/>
              <w:ind w:left="0" w:leftChars="0"/>
              <w:jc w:val="center"/>
            </w:pPr>
            <w:r>
              <w:rPr>
                <w:rFonts w:hint="eastAsia"/>
              </w:rPr>
              <w:t>省级</w:t>
            </w:r>
          </w:p>
        </w:tc>
        <w:tc>
          <w:tcPr>
            <w:tcW w:w="5665" w:type="dxa"/>
            <w:shd w:val="clear" w:color="auto" w:fill="auto"/>
            <w:vAlign w:val="center"/>
          </w:tcPr>
          <w:p>
            <w:pPr>
              <w:pStyle w:val="112"/>
              <w:spacing w:beforeLines="0" w:after="0" w:line="0" w:lineRule="atLeast"/>
              <w:ind w:left="0" w:leftChars="0"/>
              <w:jc w:val="center"/>
            </w:pPr>
            <w:r>
              <w:rPr>
                <w:rFonts w:hint="eastAsia"/>
              </w:rPr>
              <w:t>王禹村、董家岭村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vMerge w:val="restart"/>
            <w:shd w:val="clear" w:color="auto" w:fill="auto"/>
            <w:vAlign w:val="center"/>
          </w:tcPr>
          <w:p>
            <w:pPr>
              <w:pStyle w:val="112"/>
              <w:spacing w:beforeLines="0" w:after="0" w:line="0" w:lineRule="atLeast"/>
              <w:ind w:left="0" w:leftChars="0"/>
              <w:jc w:val="center"/>
            </w:pPr>
            <w:r>
              <w:rPr>
                <w:rFonts w:hint="eastAsia"/>
              </w:rPr>
              <w:t>介休市</w:t>
            </w:r>
          </w:p>
        </w:tc>
        <w:tc>
          <w:tcPr>
            <w:tcW w:w="1418" w:type="dxa"/>
            <w:vAlign w:val="center"/>
          </w:tcPr>
          <w:p>
            <w:pPr>
              <w:pStyle w:val="112"/>
              <w:spacing w:beforeLines="0" w:after="0" w:line="0" w:lineRule="atLeast"/>
              <w:ind w:left="0" w:leftChars="0"/>
              <w:jc w:val="center"/>
            </w:pPr>
            <w:r>
              <w:rPr>
                <w:rFonts w:hint="eastAsia"/>
              </w:rPr>
              <w:t>国家级</w:t>
            </w:r>
          </w:p>
        </w:tc>
        <w:tc>
          <w:tcPr>
            <w:tcW w:w="5665" w:type="dxa"/>
            <w:shd w:val="clear" w:color="auto" w:fill="auto"/>
            <w:vAlign w:val="center"/>
          </w:tcPr>
          <w:p>
            <w:pPr>
              <w:pStyle w:val="112"/>
              <w:spacing w:beforeLines="0" w:after="0" w:line="0" w:lineRule="atLeast"/>
              <w:ind w:left="0" w:leftChars="0"/>
              <w:jc w:val="center"/>
            </w:pPr>
            <w:r>
              <w:rPr>
                <w:rFonts w:hint="eastAsia"/>
              </w:rPr>
              <w:t>张壁村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vMerge w:val="continue"/>
            <w:shd w:val="clear" w:color="auto" w:fill="auto"/>
            <w:vAlign w:val="center"/>
          </w:tcPr>
          <w:p>
            <w:pPr>
              <w:pStyle w:val="112"/>
              <w:spacing w:beforeLines="0" w:after="0" w:line="0" w:lineRule="atLeast"/>
              <w:ind w:left="0" w:leftChars="0"/>
              <w:jc w:val="center"/>
            </w:pPr>
          </w:p>
        </w:tc>
        <w:tc>
          <w:tcPr>
            <w:tcW w:w="1418" w:type="dxa"/>
            <w:vAlign w:val="center"/>
          </w:tcPr>
          <w:p>
            <w:pPr>
              <w:pStyle w:val="112"/>
              <w:spacing w:beforeLines="0" w:after="0" w:line="0" w:lineRule="atLeast"/>
              <w:ind w:left="0" w:leftChars="0"/>
              <w:jc w:val="center"/>
            </w:pPr>
            <w:r>
              <w:rPr>
                <w:rFonts w:hint="eastAsia"/>
              </w:rPr>
              <w:t>省级</w:t>
            </w:r>
          </w:p>
        </w:tc>
        <w:tc>
          <w:tcPr>
            <w:tcW w:w="5665" w:type="dxa"/>
            <w:shd w:val="clear" w:color="auto" w:fill="auto"/>
            <w:vAlign w:val="center"/>
          </w:tcPr>
          <w:p>
            <w:pPr>
              <w:pStyle w:val="112"/>
              <w:spacing w:beforeLines="0" w:after="0" w:line="0" w:lineRule="atLeast"/>
              <w:ind w:left="0" w:leftChars="0"/>
              <w:jc w:val="center"/>
            </w:pPr>
            <w:r>
              <w:rPr>
                <w:rFonts w:hint="eastAsia"/>
              </w:rPr>
              <w:t>南庄村、洪山村、北贾村、大靳村、张村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vMerge w:val="restart"/>
            <w:shd w:val="clear" w:color="auto" w:fill="auto"/>
            <w:vAlign w:val="center"/>
          </w:tcPr>
          <w:p>
            <w:pPr>
              <w:pStyle w:val="112"/>
              <w:spacing w:beforeLines="0" w:after="0" w:line="0" w:lineRule="atLeast"/>
              <w:ind w:left="0" w:leftChars="0"/>
              <w:jc w:val="center"/>
            </w:pPr>
            <w:r>
              <w:rPr>
                <w:rFonts w:hint="eastAsia"/>
              </w:rPr>
              <w:t>平遥县</w:t>
            </w:r>
          </w:p>
        </w:tc>
        <w:tc>
          <w:tcPr>
            <w:tcW w:w="1418" w:type="dxa"/>
            <w:vAlign w:val="center"/>
          </w:tcPr>
          <w:p>
            <w:pPr>
              <w:pStyle w:val="112"/>
              <w:spacing w:beforeLines="0" w:after="0" w:line="0" w:lineRule="atLeast"/>
              <w:ind w:left="0" w:leftChars="0"/>
              <w:jc w:val="center"/>
            </w:pPr>
            <w:r>
              <w:rPr>
                <w:rFonts w:hint="eastAsia"/>
              </w:rPr>
              <w:t>国家级</w:t>
            </w:r>
          </w:p>
        </w:tc>
        <w:tc>
          <w:tcPr>
            <w:tcW w:w="5665" w:type="dxa"/>
            <w:shd w:val="clear" w:color="auto" w:fill="auto"/>
            <w:vAlign w:val="center"/>
          </w:tcPr>
          <w:p>
            <w:pPr>
              <w:pStyle w:val="112"/>
              <w:spacing w:beforeLines="0" w:after="0" w:line="0" w:lineRule="atLeast"/>
              <w:ind w:left="0" w:leftChars="0"/>
              <w:jc w:val="center"/>
            </w:pPr>
            <w:r>
              <w:rPr>
                <w:rFonts w:hint="eastAsia"/>
              </w:rPr>
              <w:t>梁村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vMerge w:val="continue"/>
            <w:shd w:val="clear" w:color="auto" w:fill="auto"/>
            <w:vAlign w:val="center"/>
          </w:tcPr>
          <w:p>
            <w:pPr>
              <w:pStyle w:val="112"/>
              <w:spacing w:beforeLines="0" w:after="0" w:line="0" w:lineRule="atLeast"/>
              <w:ind w:left="0" w:leftChars="0"/>
              <w:jc w:val="center"/>
            </w:pPr>
          </w:p>
        </w:tc>
        <w:tc>
          <w:tcPr>
            <w:tcW w:w="1418" w:type="dxa"/>
            <w:vAlign w:val="center"/>
          </w:tcPr>
          <w:p>
            <w:pPr>
              <w:pStyle w:val="112"/>
              <w:spacing w:beforeLines="0" w:after="0" w:line="0" w:lineRule="atLeast"/>
              <w:ind w:left="0" w:leftChars="0"/>
              <w:jc w:val="center"/>
            </w:pPr>
            <w:r>
              <w:rPr>
                <w:rFonts w:hint="eastAsia"/>
              </w:rPr>
              <w:t>省级</w:t>
            </w:r>
          </w:p>
        </w:tc>
        <w:tc>
          <w:tcPr>
            <w:tcW w:w="5665" w:type="dxa"/>
            <w:shd w:val="clear" w:color="auto" w:fill="auto"/>
            <w:vAlign w:val="center"/>
          </w:tcPr>
          <w:p>
            <w:pPr>
              <w:pStyle w:val="112"/>
              <w:spacing w:beforeLines="0" w:after="0" w:line="0" w:lineRule="atLeast"/>
              <w:ind w:left="0" w:leftChars="0"/>
              <w:jc w:val="center"/>
            </w:pPr>
            <w:r>
              <w:rPr>
                <w:rFonts w:hint="eastAsia"/>
              </w:rPr>
              <w:t>梁坡底村、西源祠村、普洞村、梁家滩村、段村、彭坡头村、东泉村、西赵村、喜村、木瓜村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shd w:val="clear" w:color="auto" w:fill="auto"/>
            <w:vAlign w:val="center"/>
          </w:tcPr>
          <w:p>
            <w:pPr>
              <w:pStyle w:val="112"/>
              <w:spacing w:beforeLines="0" w:after="0" w:line="0" w:lineRule="atLeast"/>
              <w:ind w:left="0" w:leftChars="0"/>
              <w:jc w:val="center"/>
            </w:pPr>
            <w:r>
              <w:rPr>
                <w:rFonts w:hint="eastAsia"/>
              </w:rPr>
              <w:t>榆次区</w:t>
            </w:r>
          </w:p>
        </w:tc>
        <w:tc>
          <w:tcPr>
            <w:tcW w:w="1418" w:type="dxa"/>
            <w:vAlign w:val="center"/>
          </w:tcPr>
          <w:p>
            <w:pPr>
              <w:pStyle w:val="112"/>
              <w:spacing w:beforeLines="0" w:after="0" w:line="0" w:lineRule="atLeast"/>
              <w:ind w:left="0" w:leftChars="0"/>
              <w:jc w:val="center"/>
            </w:pPr>
            <w:r>
              <w:rPr>
                <w:rFonts w:hint="eastAsia"/>
              </w:rPr>
              <w:t>省级</w:t>
            </w:r>
          </w:p>
        </w:tc>
        <w:tc>
          <w:tcPr>
            <w:tcW w:w="5665" w:type="dxa"/>
            <w:shd w:val="clear" w:color="auto" w:fill="auto"/>
            <w:vAlign w:val="center"/>
          </w:tcPr>
          <w:p>
            <w:pPr>
              <w:pStyle w:val="112"/>
              <w:spacing w:beforeLines="0" w:after="0" w:line="0" w:lineRule="atLeast"/>
              <w:ind w:left="0" w:leftChars="0"/>
              <w:jc w:val="center"/>
            </w:pPr>
            <w:r>
              <w:rPr>
                <w:rFonts w:hint="eastAsia"/>
              </w:rPr>
              <w:t>东阳镇、后沟村、小寨村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vMerge w:val="restart"/>
            <w:shd w:val="clear" w:color="auto" w:fill="auto"/>
            <w:vAlign w:val="center"/>
          </w:tcPr>
          <w:p>
            <w:pPr>
              <w:pStyle w:val="112"/>
              <w:spacing w:beforeLines="0" w:after="0" w:line="0" w:lineRule="atLeast"/>
              <w:ind w:left="0" w:leftChars="0"/>
              <w:jc w:val="center"/>
            </w:pPr>
            <w:r>
              <w:rPr>
                <w:rFonts w:hint="eastAsia"/>
              </w:rPr>
              <w:t>太谷县</w:t>
            </w:r>
          </w:p>
        </w:tc>
        <w:tc>
          <w:tcPr>
            <w:tcW w:w="1418" w:type="dxa"/>
            <w:vAlign w:val="center"/>
          </w:tcPr>
          <w:p>
            <w:pPr>
              <w:pStyle w:val="112"/>
              <w:spacing w:beforeLines="0" w:after="0" w:line="0" w:lineRule="atLeast"/>
              <w:ind w:left="0" w:leftChars="0"/>
              <w:jc w:val="center"/>
            </w:pPr>
            <w:r>
              <w:rPr>
                <w:rFonts w:hint="eastAsia"/>
              </w:rPr>
              <w:t>国家级</w:t>
            </w:r>
          </w:p>
        </w:tc>
        <w:tc>
          <w:tcPr>
            <w:tcW w:w="5665" w:type="dxa"/>
            <w:shd w:val="clear" w:color="auto" w:fill="auto"/>
            <w:vAlign w:val="center"/>
          </w:tcPr>
          <w:p>
            <w:pPr>
              <w:pStyle w:val="112"/>
              <w:spacing w:beforeLines="0" w:after="0" w:line="0" w:lineRule="atLeast"/>
              <w:ind w:left="0" w:leftChars="0"/>
              <w:jc w:val="center"/>
            </w:pPr>
            <w:r>
              <w:rPr>
                <w:rFonts w:hint="eastAsia"/>
              </w:rPr>
              <w:t>北洸村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vMerge w:val="continue"/>
            <w:shd w:val="clear" w:color="auto" w:fill="auto"/>
            <w:vAlign w:val="center"/>
          </w:tcPr>
          <w:p>
            <w:pPr>
              <w:pStyle w:val="112"/>
              <w:spacing w:beforeLines="0" w:after="0" w:line="0" w:lineRule="atLeast"/>
              <w:ind w:left="0" w:leftChars="0"/>
              <w:jc w:val="center"/>
            </w:pPr>
          </w:p>
        </w:tc>
        <w:tc>
          <w:tcPr>
            <w:tcW w:w="1418" w:type="dxa"/>
            <w:vAlign w:val="center"/>
          </w:tcPr>
          <w:p>
            <w:pPr>
              <w:pStyle w:val="112"/>
              <w:spacing w:beforeLines="0" w:after="0" w:line="0" w:lineRule="atLeast"/>
              <w:ind w:left="0" w:leftChars="0"/>
              <w:jc w:val="center"/>
            </w:pPr>
            <w:r>
              <w:rPr>
                <w:rFonts w:hint="eastAsia"/>
              </w:rPr>
              <w:t>省级</w:t>
            </w:r>
          </w:p>
        </w:tc>
        <w:tc>
          <w:tcPr>
            <w:tcW w:w="5665" w:type="dxa"/>
            <w:shd w:val="clear" w:color="auto" w:fill="auto"/>
            <w:vAlign w:val="center"/>
          </w:tcPr>
          <w:p>
            <w:pPr>
              <w:pStyle w:val="112"/>
              <w:spacing w:beforeLines="0" w:after="0" w:line="0" w:lineRule="atLeast"/>
              <w:ind w:left="0" w:leftChars="0"/>
              <w:jc w:val="center"/>
            </w:pPr>
            <w:r>
              <w:rPr>
                <w:rFonts w:hint="eastAsia"/>
              </w:rPr>
              <w:t>阳邑村、上安村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vMerge w:val="restart"/>
            <w:shd w:val="clear" w:color="auto" w:fill="auto"/>
            <w:vAlign w:val="center"/>
          </w:tcPr>
          <w:p>
            <w:pPr>
              <w:pStyle w:val="112"/>
              <w:spacing w:beforeLines="0" w:after="0" w:line="0" w:lineRule="atLeast"/>
              <w:ind w:left="0" w:leftChars="0"/>
              <w:jc w:val="center"/>
            </w:pPr>
            <w:r>
              <w:rPr>
                <w:rFonts w:hint="eastAsia"/>
              </w:rPr>
              <w:t>祁县</w:t>
            </w:r>
          </w:p>
        </w:tc>
        <w:tc>
          <w:tcPr>
            <w:tcW w:w="1418" w:type="dxa"/>
            <w:vAlign w:val="center"/>
          </w:tcPr>
          <w:p>
            <w:pPr>
              <w:pStyle w:val="112"/>
              <w:spacing w:beforeLines="0" w:after="0" w:line="0" w:lineRule="atLeast"/>
              <w:ind w:left="0" w:leftChars="0"/>
              <w:jc w:val="center"/>
            </w:pPr>
            <w:r>
              <w:rPr>
                <w:rFonts w:hint="eastAsia"/>
              </w:rPr>
              <w:t>国家级</w:t>
            </w:r>
          </w:p>
        </w:tc>
        <w:tc>
          <w:tcPr>
            <w:tcW w:w="5665" w:type="dxa"/>
            <w:shd w:val="clear" w:color="auto" w:fill="auto"/>
            <w:vAlign w:val="center"/>
          </w:tcPr>
          <w:p>
            <w:pPr>
              <w:pStyle w:val="112"/>
              <w:spacing w:beforeLines="0" w:after="0" w:line="0" w:lineRule="atLeast"/>
              <w:ind w:left="0" w:leftChars="0"/>
              <w:jc w:val="center"/>
            </w:pPr>
            <w:r>
              <w:rPr>
                <w:rFonts w:hint="eastAsia"/>
              </w:rPr>
              <w:t>谷恋村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vMerge w:val="continue"/>
            <w:shd w:val="clear" w:color="auto" w:fill="auto"/>
            <w:vAlign w:val="center"/>
          </w:tcPr>
          <w:p>
            <w:pPr>
              <w:pStyle w:val="112"/>
              <w:spacing w:beforeLines="0" w:after="0" w:line="0" w:lineRule="atLeast"/>
              <w:ind w:left="0" w:leftChars="0"/>
              <w:jc w:val="center"/>
            </w:pPr>
          </w:p>
        </w:tc>
        <w:tc>
          <w:tcPr>
            <w:tcW w:w="1418" w:type="dxa"/>
            <w:vAlign w:val="center"/>
          </w:tcPr>
          <w:p>
            <w:pPr>
              <w:pStyle w:val="112"/>
              <w:spacing w:beforeLines="0" w:after="0" w:line="0" w:lineRule="atLeast"/>
              <w:ind w:left="0" w:leftChars="0"/>
              <w:jc w:val="center"/>
            </w:pPr>
            <w:r>
              <w:rPr>
                <w:rFonts w:hint="eastAsia"/>
              </w:rPr>
              <w:t>省级</w:t>
            </w:r>
          </w:p>
        </w:tc>
        <w:tc>
          <w:tcPr>
            <w:tcW w:w="5665" w:type="dxa"/>
            <w:shd w:val="clear" w:color="auto" w:fill="auto"/>
            <w:vAlign w:val="center"/>
          </w:tcPr>
          <w:p>
            <w:pPr>
              <w:pStyle w:val="112"/>
              <w:spacing w:beforeLines="0" w:after="0" w:line="0" w:lineRule="atLeast"/>
              <w:ind w:left="0" w:leftChars="0"/>
              <w:jc w:val="center"/>
            </w:pPr>
            <w:r>
              <w:rPr>
                <w:rFonts w:hint="eastAsia"/>
              </w:rPr>
              <w:t>东观镇、贾令村、王贤村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shd w:val="clear" w:color="auto" w:fill="auto"/>
            <w:vAlign w:val="center"/>
          </w:tcPr>
          <w:p>
            <w:pPr>
              <w:pStyle w:val="112"/>
              <w:spacing w:beforeLines="0" w:after="0" w:line="0" w:lineRule="atLeast"/>
              <w:ind w:left="0" w:leftChars="0"/>
              <w:jc w:val="center"/>
            </w:pPr>
            <w:r>
              <w:rPr>
                <w:rFonts w:hint="eastAsia"/>
              </w:rPr>
              <w:t>寿阳县</w:t>
            </w:r>
          </w:p>
        </w:tc>
        <w:tc>
          <w:tcPr>
            <w:tcW w:w="1418" w:type="dxa"/>
            <w:vAlign w:val="center"/>
          </w:tcPr>
          <w:p>
            <w:pPr>
              <w:pStyle w:val="112"/>
              <w:spacing w:beforeLines="0" w:after="0" w:line="0" w:lineRule="atLeast"/>
              <w:ind w:left="0" w:leftChars="0"/>
              <w:jc w:val="center"/>
            </w:pPr>
            <w:r>
              <w:rPr>
                <w:rFonts w:hint="eastAsia"/>
              </w:rPr>
              <w:t>省级</w:t>
            </w:r>
          </w:p>
        </w:tc>
        <w:tc>
          <w:tcPr>
            <w:tcW w:w="5665" w:type="dxa"/>
            <w:shd w:val="clear" w:color="auto" w:fill="auto"/>
            <w:vAlign w:val="center"/>
          </w:tcPr>
          <w:p>
            <w:pPr>
              <w:pStyle w:val="112"/>
              <w:spacing w:beforeLines="0" w:after="0" w:line="0" w:lineRule="atLeast"/>
              <w:ind w:left="0" w:leftChars="0"/>
              <w:jc w:val="center"/>
            </w:pPr>
            <w:r>
              <w:rPr>
                <w:rFonts w:hint="eastAsia"/>
              </w:rPr>
              <w:t>宗艾镇、平舒村、南东村、南河村、纂木村、胡家堙村、龙门河村、尹灵芝村、下洲村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shd w:val="clear" w:color="auto" w:fill="auto"/>
            <w:vAlign w:val="center"/>
          </w:tcPr>
          <w:p>
            <w:pPr>
              <w:pStyle w:val="112"/>
              <w:spacing w:beforeLines="0" w:after="0" w:line="0" w:lineRule="atLeast"/>
              <w:ind w:left="0" w:leftChars="0"/>
              <w:jc w:val="center"/>
            </w:pPr>
            <w:r>
              <w:rPr>
                <w:rFonts w:hint="eastAsia"/>
              </w:rPr>
              <w:t>昔阳县</w:t>
            </w:r>
          </w:p>
        </w:tc>
        <w:tc>
          <w:tcPr>
            <w:tcW w:w="1418" w:type="dxa"/>
            <w:vAlign w:val="center"/>
          </w:tcPr>
          <w:p>
            <w:pPr>
              <w:pStyle w:val="112"/>
              <w:spacing w:beforeLines="0" w:after="0" w:line="0" w:lineRule="atLeast"/>
              <w:ind w:left="0" w:leftChars="0"/>
              <w:jc w:val="center"/>
            </w:pPr>
            <w:r>
              <w:rPr>
                <w:rFonts w:hint="eastAsia"/>
              </w:rPr>
              <w:t>省级</w:t>
            </w:r>
          </w:p>
        </w:tc>
        <w:tc>
          <w:tcPr>
            <w:tcW w:w="5665" w:type="dxa"/>
            <w:shd w:val="clear" w:color="auto" w:fill="auto"/>
            <w:vAlign w:val="center"/>
          </w:tcPr>
          <w:p>
            <w:pPr>
              <w:pStyle w:val="112"/>
              <w:spacing w:beforeLines="0" w:after="0" w:line="0" w:lineRule="atLeast"/>
              <w:ind w:left="0" w:leftChars="0"/>
              <w:jc w:val="center"/>
            </w:pPr>
            <w:r>
              <w:rPr>
                <w:rFonts w:hint="eastAsia"/>
              </w:rPr>
              <w:t>大寨镇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240" w:type="dxa"/>
            <w:shd w:val="clear" w:color="auto" w:fill="auto"/>
            <w:vAlign w:val="center"/>
          </w:tcPr>
          <w:p>
            <w:pPr>
              <w:pStyle w:val="112"/>
              <w:spacing w:beforeLines="0" w:after="0" w:line="0" w:lineRule="atLeast"/>
              <w:ind w:left="0" w:leftChars="0"/>
              <w:jc w:val="center"/>
            </w:pPr>
            <w:r>
              <w:rPr>
                <w:rFonts w:hint="eastAsia"/>
              </w:rPr>
              <w:t>左权县</w:t>
            </w:r>
          </w:p>
        </w:tc>
        <w:tc>
          <w:tcPr>
            <w:tcW w:w="1418" w:type="dxa"/>
            <w:vAlign w:val="center"/>
          </w:tcPr>
          <w:p>
            <w:pPr>
              <w:pStyle w:val="112"/>
              <w:spacing w:beforeLines="0" w:after="0" w:line="0" w:lineRule="atLeast"/>
              <w:ind w:left="0" w:leftChars="0"/>
              <w:jc w:val="center"/>
            </w:pPr>
            <w:r>
              <w:rPr>
                <w:rFonts w:hint="eastAsia"/>
              </w:rPr>
              <w:t>省级</w:t>
            </w:r>
          </w:p>
        </w:tc>
        <w:tc>
          <w:tcPr>
            <w:tcW w:w="5665" w:type="dxa"/>
            <w:shd w:val="clear" w:color="auto" w:fill="auto"/>
            <w:vAlign w:val="center"/>
          </w:tcPr>
          <w:p>
            <w:pPr>
              <w:pStyle w:val="112"/>
              <w:spacing w:beforeLines="0" w:after="0" w:line="0" w:lineRule="atLeast"/>
              <w:ind w:left="0" w:leftChars="0"/>
              <w:jc w:val="center"/>
            </w:pPr>
            <w:r>
              <w:rPr>
                <w:rFonts w:hint="eastAsia"/>
              </w:rPr>
              <w:t>麻田镇</w:t>
            </w:r>
          </w:p>
        </w:tc>
      </w:tr>
    </w:tbl>
    <w:p>
      <w:pPr>
        <w:pStyle w:val="126"/>
        <w:spacing w:before="156" w:after="156"/>
      </w:pPr>
    </w:p>
    <w:p>
      <w:pPr>
        <w:pStyle w:val="126"/>
        <w:spacing w:before="156" w:after="156"/>
        <w:rPr>
          <w:rFonts w:ascii="宋体" w:hAnsi="宋体" w:cs="Courier New"/>
          <w:b w:val="0"/>
          <w:sz w:val="30"/>
          <w:szCs w:val="30"/>
        </w:rPr>
        <w:sectPr>
          <w:pgSz w:w="11906" w:h="16838"/>
          <w:pgMar w:top="1440" w:right="1800" w:bottom="1440" w:left="1800" w:header="851" w:footer="992" w:gutter="0"/>
          <w:cols w:space="425" w:num="1"/>
          <w:docGrid w:type="lines" w:linePitch="312" w:charSpace="0"/>
        </w:sectPr>
      </w:pPr>
    </w:p>
    <w:p>
      <w:pPr>
        <w:pStyle w:val="3"/>
        <w:spacing w:before="156" w:after="156"/>
        <w:rPr>
          <w:rFonts w:ascii="Arial" w:hAnsi="Arial"/>
        </w:rPr>
      </w:pPr>
      <w:bookmarkStart w:id="377" w:name="_Toc492850149"/>
      <w:r>
        <w:rPr>
          <w:rFonts w:hint="eastAsia" w:ascii="Arial" w:hAnsi="Arial"/>
        </w:rPr>
        <w:t>附表</w:t>
      </w:r>
      <w:r>
        <w:rPr>
          <w:rFonts w:ascii="Arial" w:hAnsi="Arial"/>
        </w:rPr>
        <w:t>10</w:t>
      </w:r>
      <w:r>
        <w:rPr>
          <w:rFonts w:hint="eastAsia" w:ascii="Arial" w:hAnsi="Arial"/>
        </w:rPr>
        <w:t>：晋中市域市级以上文物保护单位一览表</w:t>
      </w:r>
      <w:bookmarkEnd w:id="377"/>
    </w:p>
    <w:tbl>
      <w:tblPr>
        <w:tblStyle w:val="55"/>
        <w:tblW w:w="9639"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36"/>
        <w:gridCol w:w="846"/>
        <w:gridCol w:w="847"/>
        <w:gridCol w:w="748"/>
        <w:gridCol w:w="1134"/>
        <w:gridCol w:w="552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blHeader/>
          <w:jc w:val="center"/>
        </w:trPr>
        <w:tc>
          <w:tcPr>
            <w:tcW w:w="536" w:type="dxa"/>
            <w:vAlign w:val="center"/>
          </w:tcPr>
          <w:p>
            <w:pPr>
              <w:spacing w:beforeLines="0" w:line="0" w:lineRule="atLeast"/>
              <w:ind w:left="0" w:leftChars="0"/>
              <w:jc w:val="left"/>
              <w:rPr>
                <w:b/>
                <w:sz w:val="21"/>
                <w:szCs w:val="21"/>
              </w:rPr>
            </w:pPr>
            <w:r>
              <w:rPr>
                <w:rFonts w:hint="eastAsia"/>
                <w:b/>
                <w:sz w:val="21"/>
                <w:szCs w:val="21"/>
              </w:rPr>
              <w:t>编号</w:t>
            </w:r>
          </w:p>
        </w:tc>
        <w:tc>
          <w:tcPr>
            <w:tcW w:w="846" w:type="dxa"/>
            <w:vAlign w:val="center"/>
          </w:tcPr>
          <w:p>
            <w:pPr>
              <w:spacing w:beforeLines="0" w:line="0" w:lineRule="atLeast"/>
              <w:ind w:left="0" w:leftChars="0"/>
              <w:jc w:val="left"/>
              <w:rPr>
                <w:b/>
                <w:sz w:val="21"/>
                <w:szCs w:val="21"/>
              </w:rPr>
            </w:pPr>
            <w:r>
              <w:rPr>
                <w:rFonts w:hint="eastAsia"/>
                <w:b/>
                <w:sz w:val="21"/>
                <w:szCs w:val="21"/>
              </w:rPr>
              <w:t>名称</w:t>
            </w:r>
          </w:p>
        </w:tc>
        <w:tc>
          <w:tcPr>
            <w:tcW w:w="847" w:type="dxa"/>
            <w:vAlign w:val="center"/>
          </w:tcPr>
          <w:p>
            <w:pPr>
              <w:spacing w:beforeLines="0" w:line="0" w:lineRule="atLeast"/>
              <w:ind w:left="0" w:leftChars="0"/>
              <w:jc w:val="left"/>
              <w:rPr>
                <w:b/>
                <w:sz w:val="21"/>
                <w:szCs w:val="21"/>
              </w:rPr>
            </w:pPr>
            <w:r>
              <w:rPr>
                <w:rFonts w:hint="eastAsia"/>
                <w:b/>
                <w:sz w:val="21"/>
                <w:szCs w:val="21"/>
              </w:rPr>
              <w:t>时代</w:t>
            </w:r>
          </w:p>
        </w:tc>
        <w:tc>
          <w:tcPr>
            <w:tcW w:w="748" w:type="dxa"/>
            <w:vAlign w:val="center"/>
          </w:tcPr>
          <w:p>
            <w:pPr>
              <w:spacing w:beforeLines="0" w:line="0" w:lineRule="atLeast"/>
              <w:ind w:left="0" w:leftChars="0"/>
              <w:jc w:val="left"/>
              <w:rPr>
                <w:b/>
                <w:sz w:val="21"/>
                <w:szCs w:val="21"/>
              </w:rPr>
            </w:pPr>
            <w:r>
              <w:rPr>
                <w:rFonts w:hint="eastAsia"/>
                <w:b/>
                <w:sz w:val="21"/>
                <w:szCs w:val="21"/>
              </w:rPr>
              <w:t>级别</w:t>
            </w:r>
          </w:p>
        </w:tc>
        <w:tc>
          <w:tcPr>
            <w:tcW w:w="1134" w:type="dxa"/>
            <w:vAlign w:val="center"/>
          </w:tcPr>
          <w:p>
            <w:pPr>
              <w:spacing w:beforeLines="0" w:line="0" w:lineRule="atLeast"/>
              <w:ind w:left="0" w:leftChars="0"/>
              <w:jc w:val="left"/>
              <w:rPr>
                <w:b/>
                <w:sz w:val="21"/>
                <w:szCs w:val="21"/>
              </w:rPr>
            </w:pPr>
            <w:r>
              <w:rPr>
                <w:rFonts w:hint="eastAsia"/>
                <w:b/>
                <w:sz w:val="21"/>
                <w:szCs w:val="21"/>
              </w:rPr>
              <w:t>地址</w:t>
            </w:r>
          </w:p>
        </w:tc>
        <w:tc>
          <w:tcPr>
            <w:tcW w:w="5528" w:type="dxa"/>
            <w:vAlign w:val="center"/>
          </w:tcPr>
          <w:p>
            <w:pPr>
              <w:spacing w:beforeLines="0" w:line="0" w:lineRule="atLeast"/>
              <w:ind w:left="0" w:leftChars="0"/>
              <w:jc w:val="left"/>
              <w:rPr>
                <w:b/>
                <w:sz w:val="21"/>
                <w:szCs w:val="21"/>
              </w:rPr>
            </w:pPr>
            <w:r>
              <w:rPr>
                <w:rFonts w:hint="eastAsia"/>
                <w:b/>
                <w:sz w:val="21"/>
                <w:szCs w:val="21"/>
              </w:rPr>
              <w:t>保护范围和建控地带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1</w:t>
            </w:r>
          </w:p>
        </w:tc>
        <w:tc>
          <w:tcPr>
            <w:tcW w:w="846" w:type="dxa"/>
            <w:vAlign w:val="center"/>
          </w:tcPr>
          <w:p>
            <w:pPr>
              <w:spacing w:beforeLines="0" w:line="0" w:lineRule="atLeast"/>
              <w:ind w:left="0" w:leftChars="0"/>
              <w:jc w:val="left"/>
              <w:rPr>
                <w:sz w:val="21"/>
                <w:szCs w:val="21"/>
              </w:rPr>
            </w:pPr>
            <w:r>
              <w:rPr>
                <w:rFonts w:hint="eastAsia"/>
                <w:sz w:val="21"/>
                <w:szCs w:val="21"/>
              </w:rPr>
              <w:t>榆次城隍庙</w:t>
            </w:r>
          </w:p>
        </w:tc>
        <w:tc>
          <w:tcPr>
            <w:tcW w:w="847" w:type="dxa"/>
            <w:vAlign w:val="center"/>
          </w:tcPr>
          <w:p>
            <w:pPr>
              <w:spacing w:beforeLines="0" w:line="0" w:lineRule="atLeast"/>
              <w:ind w:left="0" w:leftChars="0"/>
              <w:jc w:val="left"/>
              <w:rPr>
                <w:sz w:val="21"/>
                <w:szCs w:val="21"/>
              </w:rPr>
            </w:pPr>
            <w:r>
              <w:rPr>
                <w:rFonts w:hint="eastAsia"/>
                <w:sz w:val="21"/>
                <w:szCs w:val="21"/>
              </w:rPr>
              <w:t>元、清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榆次区内东大街</w:t>
            </w:r>
          </w:p>
        </w:tc>
        <w:tc>
          <w:tcPr>
            <w:tcW w:w="5528" w:type="dxa"/>
            <w:vAlign w:val="center"/>
          </w:tcPr>
          <w:p>
            <w:pPr>
              <w:spacing w:beforeLines="0" w:line="0" w:lineRule="atLeast"/>
              <w:ind w:left="0" w:leftChars="0"/>
              <w:jc w:val="left"/>
              <w:rPr>
                <w:sz w:val="21"/>
                <w:szCs w:val="21"/>
              </w:rPr>
            </w:pPr>
            <w:r>
              <w:rPr>
                <w:rFonts w:hint="eastAsia"/>
                <w:sz w:val="21"/>
                <w:szCs w:val="21"/>
              </w:rPr>
              <w:t>保护范围：东至东廊房后墙平行向东6米棉织厂围墙西沿；南至山门向南5米，马路南沿；西至西廊房后墙平行向西20米，民居西沿（庙内附属建筑）；北至后殿后墙平行向北10米。</w:t>
            </w:r>
          </w:p>
          <w:p>
            <w:pPr>
              <w:spacing w:beforeLines="0" w:line="0" w:lineRule="atLeast"/>
              <w:ind w:left="0" w:leftChars="0"/>
              <w:jc w:val="left"/>
              <w:rPr>
                <w:sz w:val="21"/>
                <w:szCs w:val="21"/>
              </w:rPr>
            </w:pPr>
            <w:r>
              <w:rPr>
                <w:rFonts w:hint="eastAsia"/>
                <w:sz w:val="21"/>
                <w:szCs w:val="21"/>
              </w:rPr>
              <w:t>建设控制地带：东至保护范围向东50米、俞家街路东沿；南至保护范围向南105米，富户街南沿；西至保护范围向西60米，小井巷路西沿；北至保护范围向北120米，小井巷路北沿。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2</w:t>
            </w:r>
          </w:p>
        </w:tc>
        <w:tc>
          <w:tcPr>
            <w:tcW w:w="846" w:type="dxa"/>
            <w:vAlign w:val="center"/>
          </w:tcPr>
          <w:p>
            <w:pPr>
              <w:spacing w:beforeLines="0" w:line="0" w:lineRule="atLeast"/>
              <w:ind w:left="0" w:leftChars="0"/>
              <w:jc w:val="left"/>
              <w:rPr>
                <w:sz w:val="21"/>
                <w:szCs w:val="21"/>
              </w:rPr>
            </w:pPr>
            <w:r>
              <w:rPr>
                <w:rFonts w:hint="eastAsia"/>
                <w:sz w:val="21"/>
                <w:szCs w:val="21"/>
              </w:rPr>
              <w:t>什贴墓群</w:t>
            </w:r>
          </w:p>
        </w:tc>
        <w:tc>
          <w:tcPr>
            <w:tcW w:w="847" w:type="dxa"/>
            <w:vAlign w:val="center"/>
          </w:tcPr>
          <w:p>
            <w:pPr>
              <w:spacing w:beforeLines="0" w:line="0" w:lineRule="atLeast"/>
              <w:ind w:left="0" w:leftChars="0"/>
              <w:jc w:val="left"/>
              <w:rPr>
                <w:sz w:val="21"/>
                <w:szCs w:val="21"/>
              </w:rPr>
            </w:pPr>
            <w:r>
              <w:rPr>
                <w:rFonts w:hint="eastAsia"/>
                <w:sz w:val="21"/>
                <w:szCs w:val="21"/>
              </w:rPr>
              <w:t>南北朝</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榆次区什贴村西北</w:t>
            </w:r>
          </w:p>
        </w:tc>
        <w:tc>
          <w:tcPr>
            <w:tcW w:w="5528" w:type="dxa"/>
            <w:vAlign w:val="center"/>
          </w:tcPr>
          <w:p>
            <w:pPr>
              <w:spacing w:beforeLines="0" w:line="0" w:lineRule="atLeast"/>
              <w:ind w:left="0" w:leftChars="0"/>
              <w:jc w:val="left"/>
              <w:rPr>
                <w:sz w:val="21"/>
                <w:szCs w:val="21"/>
              </w:rPr>
            </w:pPr>
            <w:r>
              <w:rPr>
                <w:rFonts w:hint="eastAsia"/>
                <w:sz w:val="21"/>
                <w:szCs w:val="21"/>
              </w:rPr>
              <w:t>保护范围：东至7号墓葬封土向东400米、西至1号墓葬封土向西500米、南至7号墓葬向南100米、北至5号墓葬向北400米。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3</w:t>
            </w:r>
          </w:p>
        </w:tc>
        <w:tc>
          <w:tcPr>
            <w:tcW w:w="846" w:type="dxa"/>
            <w:vAlign w:val="center"/>
          </w:tcPr>
          <w:p>
            <w:pPr>
              <w:spacing w:beforeLines="0" w:line="0" w:lineRule="atLeast"/>
              <w:ind w:left="0" w:leftChars="0"/>
              <w:jc w:val="left"/>
              <w:rPr>
                <w:sz w:val="21"/>
                <w:szCs w:val="21"/>
              </w:rPr>
            </w:pPr>
            <w:r>
              <w:rPr>
                <w:rFonts w:hint="eastAsia"/>
                <w:sz w:val="21"/>
                <w:szCs w:val="21"/>
              </w:rPr>
              <w:t>无边寺</w:t>
            </w:r>
          </w:p>
        </w:tc>
        <w:tc>
          <w:tcPr>
            <w:tcW w:w="847" w:type="dxa"/>
            <w:vAlign w:val="center"/>
          </w:tcPr>
          <w:p>
            <w:pPr>
              <w:spacing w:beforeLines="0" w:line="0" w:lineRule="atLeast"/>
              <w:ind w:left="0" w:leftChars="0"/>
              <w:jc w:val="left"/>
              <w:rPr>
                <w:sz w:val="21"/>
                <w:szCs w:val="21"/>
              </w:rPr>
            </w:pPr>
            <w:r>
              <w:rPr>
                <w:rFonts w:hint="eastAsia"/>
                <w:sz w:val="21"/>
                <w:szCs w:val="21"/>
              </w:rPr>
              <w:t>宋至清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太谷县城内西南隅普慈寺内</w:t>
            </w:r>
          </w:p>
        </w:tc>
        <w:tc>
          <w:tcPr>
            <w:tcW w:w="5528" w:type="dxa"/>
            <w:vAlign w:val="center"/>
          </w:tcPr>
          <w:p>
            <w:pPr>
              <w:spacing w:beforeLines="0" w:line="0" w:lineRule="atLeast"/>
              <w:ind w:left="0" w:leftChars="0"/>
              <w:jc w:val="left"/>
              <w:rPr>
                <w:sz w:val="21"/>
                <w:szCs w:val="21"/>
              </w:rPr>
            </w:pPr>
            <w:r>
              <w:rPr>
                <w:rFonts w:hint="eastAsia"/>
                <w:sz w:val="21"/>
                <w:szCs w:val="21"/>
              </w:rPr>
              <w:t>保护范围：东、西至围墙外10米、北至正墙后墙外10米、南至南寺街南沿。</w:t>
            </w:r>
          </w:p>
          <w:p>
            <w:pPr>
              <w:spacing w:beforeLines="0" w:line="0" w:lineRule="atLeast"/>
              <w:ind w:left="0" w:leftChars="0"/>
              <w:jc w:val="left"/>
              <w:rPr>
                <w:sz w:val="21"/>
                <w:szCs w:val="21"/>
              </w:rPr>
            </w:pPr>
            <w:r>
              <w:rPr>
                <w:rFonts w:hint="eastAsia"/>
                <w:sz w:val="21"/>
                <w:szCs w:val="21"/>
              </w:rPr>
              <w:t>建设控制地带：东至南街东沿、南至工农兵路南沿、西至西道街西沿、北至上观巷、甜水巷北沿。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4</w:t>
            </w:r>
          </w:p>
        </w:tc>
        <w:tc>
          <w:tcPr>
            <w:tcW w:w="846" w:type="dxa"/>
            <w:vAlign w:val="center"/>
          </w:tcPr>
          <w:p>
            <w:pPr>
              <w:spacing w:beforeLines="0" w:line="0" w:lineRule="atLeast"/>
              <w:ind w:left="0" w:leftChars="0"/>
              <w:jc w:val="left"/>
              <w:rPr>
                <w:sz w:val="21"/>
                <w:szCs w:val="21"/>
              </w:rPr>
            </w:pPr>
            <w:r>
              <w:rPr>
                <w:rFonts w:hint="eastAsia"/>
                <w:sz w:val="21"/>
                <w:szCs w:val="21"/>
              </w:rPr>
              <w:t>兴化寺</w:t>
            </w:r>
          </w:p>
        </w:tc>
        <w:tc>
          <w:tcPr>
            <w:tcW w:w="847" w:type="dxa"/>
            <w:vAlign w:val="center"/>
          </w:tcPr>
          <w:p>
            <w:pPr>
              <w:spacing w:beforeLines="0" w:line="0" w:lineRule="atLeast"/>
              <w:ind w:left="0" w:leftChars="0"/>
              <w:jc w:val="left"/>
              <w:rPr>
                <w:sz w:val="21"/>
                <w:szCs w:val="21"/>
              </w:rPr>
            </w:pPr>
            <w:r>
              <w:rPr>
                <w:rFonts w:hint="eastAsia"/>
                <w:sz w:val="21"/>
                <w:szCs w:val="21"/>
              </w:rPr>
              <w:t>元至清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太谷县城西南白城村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保护范围：东至廊房后墙外10米、西至廊房后墙外15米、南至山门南墙外10米、北至大殿后墙外10米。</w:t>
            </w:r>
          </w:p>
          <w:p>
            <w:pPr>
              <w:spacing w:beforeLines="0" w:line="0" w:lineRule="atLeast"/>
              <w:ind w:left="0" w:leftChars="0"/>
              <w:jc w:val="left"/>
              <w:rPr>
                <w:sz w:val="21"/>
                <w:szCs w:val="21"/>
              </w:rPr>
            </w:pPr>
            <w:r>
              <w:rPr>
                <w:rFonts w:hint="eastAsia"/>
                <w:sz w:val="21"/>
                <w:szCs w:val="21"/>
              </w:rPr>
              <w:t>建设控制地带：东、西、北各至保护范围外200米、南至保护范围外150米。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5</w:t>
            </w:r>
          </w:p>
        </w:tc>
        <w:tc>
          <w:tcPr>
            <w:tcW w:w="846" w:type="dxa"/>
            <w:vAlign w:val="center"/>
          </w:tcPr>
          <w:p>
            <w:pPr>
              <w:spacing w:beforeLines="0" w:line="0" w:lineRule="atLeast"/>
              <w:ind w:left="0" w:leftChars="0"/>
              <w:jc w:val="left"/>
              <w:rPr>
                <w:sz w:val="21"/>
                <w:szCs w:val="21"/>
              </w:rPr>
            </w:pPr>
            <w:r>
              <w:rPr>
                <w:rFonts w:hint="eastAsia"/>
                <w:sz w:val="21"/>
                <w:szCs w:val="21"/>
              </w:rPr>
              <w:t>安禅寺</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宋至明</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太谷县太师附小院内</w:t>
            </w:r>
          </w:p>
        </w:tc>
        <w:tc>
          <w:tcPr>
            <w:tcW w:w="5528" w:type="dxa"/>
            <w:vAlign w:val="center"/>
          </w:tcPr>
          <w:p>
            <w:pPr>
              <w:spacing w:beforeLines="0" w:line="0" w:lineRule="atLeast"/>
              <w:ind w:left="0" w:leftChars="0"/>
              <w:jc w:val="left"/>
              <w:rPr>
                <w:sz w:val="21"/>
                <w:szCs w:val="21"/>
              </w:rPr>
            </w:pPr>
            <w:r>
              <w:rPr>
                <w:rFonts w:hint="eastAsia"/>
                <w:sz w:val="21"/>
                <w:szCs w:val="21"/>
              </w:rPr>
              <w:t>东至藏经殿东山墙外10米、西至藏经殿西山墙外15米、南至藏经殿南墙外10米、北至藏经殿后墙外40米。</w:t>
            </w:r>
          </w:p>
          <w:p>
            <w:pPr>
              <w:spacing w:beforeLines="0" w:line="0" w:lineRule="atLeast"/>
              <w:ind w:left="0" w:leftChars="0"/>
              <w:jc w:val="left"/>
              <w:rPr>
                <w:sz w:val="21"/>
                <w:szCs w:val="21"/>
              </w:rPr>
            </w:pPr>
            <w:r>
              <w:rPr>
                <w:rFonts w:hint="eastAsia"/>
                <w:sz w:val="21"/>
                <w:szCs w:val="21"/>
              </w:rPr>
              <w:t>建设控制地带：南至安禅寺街南沿、东至保护范围外40米、西至保护范围外60米、北至保护范围外50米。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6</w:t>
            </w:r>
          </w:p>
        </w:tc>
        <w:tc>
          <w:tcPr>
            <w:tcW w:w="846" w:type="dxa"/>
            <w:vAlign w:val="center"/>
          </w:tcPr>
          <w:p>
            <w:pPr>
              <w:spacing w:beforeLines="0" w:line="0" w:lineRule="atLeast"/>
              <w:ind w:left="0" w:leftChars="0"/>
              <w:jc w:val="left"/>
              <w:rPr>
                <w:sz w:val="21"/>
                <w:szCs w:val="21"/>
              </w:rPr>
            </w:pPr>
            <w:r>
              <w:rPr>
                <w:rFonts w:hint="eastAsia"/>
                <w:sz w:val="21"/>
                <w:szCs w:val="21"/>
              </w:rPr>
              <w:t>净信寺</w:t>
            </w:r>
          </w:p>
        </w:tc>
        <w:tc>
          <w:tcPr>
            <w:tcW w:w="847" w:type="dxa"/>
            <w:vAlign w:val="center"/>
          </w:tcPr>
          <w:p>
            <w:pPr>
              <w:spacing w:beforeLines="0" w:line="0" w:lineRule="atLeast"/>
              <w:ind w:left="0" w:leftChars="0"/>
              <w:jc w:val="left"/>
              <w:rPr>
                <w:sz w:val="21"/>
                <w:szCs w:val="21"/>
              </w:rPr>
            </w:pPr>
            <w:r>
              <w:rPr>
                <w:rFonts w:hint="eastAsia"/>
                <w:sz w:val="21"/>
                <w:szCs w:val="21"/>
              </w:rPr>
              <w:t>明至清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太谷县东阳邑村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保护范围：东至围墙外10米、南至戏台后墙外15米、西、北至围墙。</w:t>
            </w:r>
          </w:p>
          <w:p>
            <w:pPr>
              <w:spacing w:beforeLines="0" w:line="0" w:lineRule="atLeast"/>
              <w:ind w:left="0" w:leftChars="0"/>
              <w:jc w:val="left"/>
              <w:rPr>
                <w:sz w:val="21"/>
                <w:szCs w:val="21"/>
              </w:rPr>
            </w:pPr>
            <w:r>
              <w:rPr>
                <w:rFonts w:hint="eastAsia"/>
                <w:sz w:val="21"/>
                <w:szCs w:val="21"/>
              </w:rPr>
              <w:t>建设控制地带：东至保护范围外250米、西至保护范围外200米、南至保护范围外150米、北至保护范围外100米。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7</w:t>
            </w:r>
          </w:p>
        </w:tc>
        <w:tc>
          <w:tcPr>
            <w:tcW w:w="846" w:type="dxa"/>
            <w:vAlign w:val="center"/>
          </w:tcPr>
          <w:p>
            <w:pPr>
              <w:spacing w:beforeLines="0" w:line="0" w:lineRule="atLeast"/>
              <w:ind w:left="0" w:leftChars="0"/>
              <w:jc w:val="left"/>
              <w:rPr>
                <w:sz w:val="21"/>
                <w:szCs w:val="21"/>
              </w:rPr>
            </w:pPr>
            <w:r>
              <w:rPr>
                <w:rFonts w:hint="eastAsia"/>
                <w:sz w:val="21"/>
                <w:szCs w:val="21"/>
              </w:rPr>
              <w:t>真圣寺</w:t>
            </w:r>
          </w:p>
        </w:tc>
        <w:tc>
          <w:tcPr>
            <w:tcW w:w="847" w:type="dxa"/>
            <w:vAlign w:val="center"/>
          </w:tcPr>
          <w:p>
            <w:pPr>
              <w:spacing w:beforeLines="0" w:line="0" w:lineRule="atLeast"/>
              <w:ind w:left="0" w:leftChars="0"/>
              <w:jc w:val="left"/>
              <w:rPr>
                <w:sz w:val="21"/>
                <w:szCs w:val="21"/>
              </w:rPr>
            </w:pPr>
            <w:r>
              <w:rPr>
                <w:rFonts w:hint="eastAsia"/>
                <w:sz w:val="21"/>
                <w:szCs w:val="21"/>
              </w:rPr>
              <w:t>金至清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太谷县范村镇蚍蜉村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保护范围：东至东围墙外8米、南至山门石窟后墙外16米、西至围墙外20米、北至正殿后墙外20米。</w:t>
            </w:r>
          </w:p>
          <w:p>
            <w:pPr>
              <w:spacing w:beforeLines="0" w:line="0" w:lineRule="atLeast"/>
              <w:ind w:left="0" w:leftChars="0"/>
              <w:jc w:val="left"/>
              <w:rPr>
                <w:sz w:val="21"/>
                <w:szCs w:val="21"/>
              </w:rPr>
            </w:pPr>
            <w:r>
              <w:rPr>
                <w:rFonts w:hint="eastAsia"/>
                <w:sz w:val="21"/>
                <w:szCs w:val="21"/>
              </w:rPr>
              <w:t>建设控制地带：保护范围外东、西、南、北外延伸50米。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8</w:t>
            </w:r>
          </w:p>
        </w:tc>
        <w:tc>
          <w:tcPr>
            <w:tcW w:w="846" w:type="dxa"/>
            <w:vAlign w:val="center"/>
          </w:tcPr>
          <w:p>
            <w:pPr>
              <w:spacing w:beforeLines="0" w:line="0" w:lineRule="atLeast"/>
              <w:ind w:left="0" w:leftChars="0"/>
              <w:jc w:val="left"/>
              <w:rPr>
                <w:sz w:val="21"/>
                <w:szCs w:val="21"/>
              </w:rPr>
            </w:pPr>
            <w:r>
              <w:rPr>
                <w:rFonts w:hint="eastAsia"/>
                <w:sz w:val="21"/>
                <w:szCs w:val="21"/>
              </w:rPr>
              <w:t>曹家大院</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明至清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太谷县洸村东隅</w:t>
            </w:r>
          </w:p>
        </w:tc>
        <w:tc>
          <w:tcPr>
            <w:tcW w:w="5528" w:type="dxa"/>
            <w:vAlign w:val="center"/>
          </w:tcPr>
          <w:p>
            <w:pPr>
              <w:spacing w:beforeLines="0" w:line="0" w:lineRule="atLeast"/>
              <w:ind w:left="0" w:leftChars="0"/>
              <w:jc w:val="left"/>
              <w:rPr>
                <w:sz w:val="21"/>
                <w:szCs w:val="21"/>
              </w:rPr>
            </w:pPr>
            <w:r>
              <w:rPr>
                <w:rFonts w:hint="eastAsia"/>
                <w:sz w:val="21"/>
                <w:szCs w:val="21"/>
              </w:rPr>
              <w:t>保护范围：东至围墙外15米、南、北至围墙外20米、西至围墙外60米。</w:t>
            </w:r>
          </w:p>
          <w:p>
            <w:pPr>
              <w:spacing w:beforeLines="0" w:line="0" w:lineRule="atLeast"/>
              <w:ind w:left="0" w:leftChars="0"/>
              <w:jc w:val="left"/>
              <w:rPr>
                <w:sz w:val="21"/>
                <w:szCs w:val="21"/>
              </w:rPr>
            </w:pPr>
            <w:r>
              <w:rPr>
                <w:rFonts w:hint="eastAsia"/>
                <w:sz w:val="21"/>
                <w:szCs w:val="21"/>
              </w:rPr>
              <w:t>建设控制地带：东至保护范围外62米、南至保护范围外45米、西至保护范围外20米、北至保护范围外125米。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9</w:t>
            </w:r>
          </w:p>
        </w:tc>
        <w:tc>
          <w:tcPr>
            <w:tcW w:w="846" w:type="dxa"/>
            <w:vAlign w:val="center"/>
          </w:tcPr>
          <w:p>
            <w:pPr>
              <w:spacing w:beforeLines="0" w:line="0" w:lineRule="atLeast"/>
              <w:ind w:left="0" w:leftChars="0"/>
              <w:jc w:val="left"/>
              <w:rPr>
                <w:sz w:val="21"/>
                <w:szCs w:val="21"/>
              </w:rPr>
            </w:pPr>
            <w:r>
              <w:rPr>
                <w:rFonts w:hint="eastAsia"/>
                <w:sz w:val="21"/>
                <w:szCs w:val="21"/>
              </w:rPr>
              <w:t>乔家大院</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祁县城东北10千米乔家堡</w:t>
            </w:r>
          </w:p>
        </w:tc>
        <w:tc>
          <w:tcPr>
            <w:tcW w:w="5528" w:type="dxa"/>
            <w:vAlign w:val="center"/>
          </w:tcPr>
          <w:p>
            <w:pPr>
              <w:spacing w:beforeLines="0" w:line="0" w:lineRule="atLeast"/>
              <w:ind w:left="0" w:leftChars="0"/>
              <w:jc w:val="left"/>
              <w:rPr>
                <w:sz w:val="21"/>
                <w:szCs w:val="21"/>
              </w:rPr>
            </w:pPr>
            <w:r>
              <w:rPr>
                <w:rFonts w:hint="eastAsia"/>
                <w:sz w:val="21"/>
                <w:szCs w:val="21"/>
              </w:rPr>
              <w:t>保护范围：从乔“在中堂”住宅的四周外墙算起</w:t>
            </w:r>
          </w:p>
          <w:p>
            <w:pPr>
              <w:spacing w:beforeLines="0" w:line="0" w:lineRule="atLeast"/>
              <w:ind w:left="0" w:leftChars="0"/>
              <w:jc w:val="left"/>
              <w:rPr>
                <w:sz w:val="21"/>
                <w:szCs w:val="21"/>
              </w:rPr>
            </w:pPr>
            <w:r>
              <w:rPr>
                <w:rFonts w:hint="eastAsia"/>
                <w:sz w:val="21"/>
                <w:szCs w:val="21"/>
              </w:rPr>
              <w:t>东至：从乔“在中堂”住宅东外墙底算起（六院，一院里对偏院东墙）由南向北依次为：民客李乃幸院至乔春海院西南底19米处；胡杰院至王桃元院西墙底33.8米处；王根丑院至王延林院西墙底26.4米出处；阎文庆院至杜儿惠院西墙底26.4米处。</w:t>
            </w:r>
          </w:p>
          <w:p>
            <w:pPr>
              <w:spacing w:beforeLines="0" w:line="0" w:lineRule="atLeast"/>
              <w:ind w:left="0" w:leftChars="0"/>
              <w:jc w:val="left"/>
              <w:rPr>
                <w:sz w:val="21"/>
                <w:szCs w:val="21"/>
              </w:rPr>
            </w:pPr>
            <w:r>
              <w:rPr>
                <w:rFonts w:hint="eastAsia"/>
                <w:sz w:val="21"/>
                <w:szCs w:val="21"/>
              </w:rPr>
              <w:t>南至：从乔“在中堂”住宅南外墙底算起（四、五、六院南墙底）由西向东依次为：至崔明义院南墙底46.5米；至李如珍院南墙底49米；至王建国院南墙底51米，乔建成院至道口54米处；陈连生院至北墙至吕丕德院南墙底41米处。</w:t>
            </w:r>
          </w:p>
          <w:p>
            <w:pPr>
              <w:spacing w:beforeLines="0" w:line="0" w:lineRule="atLeast"/>
              <w:ind w:left="0" w:leftChars="0"/>
              <w:jc w:val="left"/>
              <w:rPr>
                <w:sz w:val="21"/>
                <w:szCs w:val="21"/>
              </w:rPr>
            </w:pPr>
            <w:r>
              <w:rPr>
                <w:rFonts w:hint="eastAsia"/>
                <w:sz w:val="21"/>
                <w:szCs w:val="21"/>
              </w:rPr>
              <w:t>西至：从乔“在中堂”住宅西外墙底算起（三、四院西墙底）由北向南依次为：从民宅，乔晋民院东墙底至王俊仁院东墙底50.3米处；张卫建院东墙底至西墙底23米处；陈世豪院东墙底至乔明院东墙底23米处；赵晋生院东墙底至道路东侧23米处。</w:t>
            </w:r>
          </w:p>
          <w:p>
            <w:pPr>
              <w:spacing w:beforeLines="0" w:line="0" w:lineRule="atLeast"/>
              <w:ind w:left="0" w:leftChars="0"/>
              <w:jc w:val="left"/>
              <w:rPr>
                <w:sz w:val="21"/>
                <w:szCs w:val="21"/>
              </w:rPr>
            </w:pPr>
            <w:r>
              <w:rPr>
                <w:rFonts w:hint="eastAsia"/>
                <w:sz w:val="21"/>
                <w:szCs w:val="21"/>
              </w:rPr>
              <w:t>北至：以乔“在中堂”住宅北外墙底算起（一、二、三院北墙底）由东向西依次为：从民宅，王英启院南墙底至杜星球院北墙底72米处；邢之栓院南墙底至田彩仙院北墙底66米处；王之光院南墙底至田彩仙院北墙底66米处；栗永灿院南墙底至北墙底52米处；栗永灿院南墙底至姚爱林院北墙底52米处；任荣绣院南墙底至乔建院北墙底21.7米处；乔占州院南墙底至北墙底35.4米处；王模刚院南墙底至乔作义院北墙底48.2米处；乔太世院南墙底至北墙底48.2米处。栗永旺南墙底至周丕华院北墙底42米处。</w:t>
            </w:r>
          </w:p>
          <w:p>
            <w:pPr>
              <w:spacing w:beforeLines="0" w:line="0" w:lineRule="atLeast"/>
              <w:ind w:left="0" w:leftChars="0"/>
              <w:jc w:val="left"/>
              <w:rPr>
                <w:sz w:val="21"/>
                <w:szCs w:val="21"/>
              </w:rPr>
            </w:pPr>
            <w:r>
              <w:rPr>
                <w:rFonts w:hint="eastAsia"/>
                <w:sz w:val="21"/>
                <w:szCs w:val="21"/>
              </w:rPr>
              <w:t>建设控制地带：从乔“在中堂”四周外墙底算起：东至大运公路520米处；南至新花园241米处；西至大铺街107米处；北至灰渣坡121米处。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10</w:t>
            </w:r>
          </w:p>
        </w:tc>
        <w:tc>
          <w:tcPr>
            <w:tcW w:w="846" w:type="dxa"/>
            <w:vAlign w:val="center"/>
          </w:tcPr>
          <w:p>
            <w:pPr>
              <w:spacing w:beforeLines="0" w:line="0" w:lineRule="atLeast"/>
              <w:ind w:left="0" w:leftChars="0"/>
              <w:jc w:val="left"/>
              <w:rPr>
                <w:sz w:val="21"/>
                <w:szCs w:val="21"/>
              </w:rPr>
            </w:pPr>
            <w:r>
              <w:rPr>
                <w:rFonts w:hint="eastAsia"/>
                <w:sz w:val="21"/>
                <w:szCs w:val="21"/>
              </w:rPr>
              <w:t>渠家大院（含长裕川茶庄旧址）</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祁县古城东大街</w:t>
            </w:r>
          </w:p>
        </w:tc>
        <w:tc>
          <w:tcPr>
            <w:tcW w:w="5528" w:type="dxa"/>
            <w:vAlign w:val="center"/>
          </w:tcPr>
          <w:p>
            <w:pPr>
              <w:spacing w:beforeLines="0" w:line="0" w:lineRule="atLeast"/>
              <w:ind w:left="0" w:leftChars="0"/>
              <w:jc w:val="left"/>
              <w:rPr>
                <w:sz w:val="21"/>
                <w:szCs w:val="21"/>
              </w:rPr>
            </w:pPr>
            <w:r>
              <w:rPr>
                <w:rFonts w:hint="eastAsia"/>
                <w:sz w:val="21"/>
                <w:szCs w:val="21"/>
              </w:rPr>
              <w:t>渠家大院</w:t>
            </w:r>
          </w:p>
          <w:p>
            <w:pPr>
              <w:spacing w:beforeLines="0" w:line="0" w:lineRule="atLeast"/>
              <w:ind w:left="0" w:leftChars="0"/>
              <w:jc w:val="left"/>
              <w:rPr>
                <w:sz w:val="21"/>
                <w:szCs w:val="21"/>
              </w:rPr>
            </w:pPr>
            <w:r>
              <w:rPr>
                <w:rFonts w:hint="eastAsia"/>
                <w:sz w:val="21"/>
                <w:szCs w:val="21"/>
              </w:rPr>
              <w:t>保护范围：南至东大街南路沿石6.06米、西至高园圪道西路沿石1.62米、东至东路沿石8.75米、北至渠家统楼后墙外平行9.12米。</w:t>
            </w:r>
          </w:p>
          <w:p>
            <w:pPr>
              <w:spacing w:beforeLines="0" w:line="0" w:lineRule="atLeast"/>
              <w:ind w:left="0" w:leftChars="0"/>
              <w:jc w:val="left"/>
              <w:rPr>
                <w:sz w:val="21"/>
                <w:szCs w:val="21"/>
              </w:rPr>
            </w:pPr>
            <w:r>
              <w:rPr>
                <w:rFonts w:hint="eastAsia"/>
                <w:sz w:val="21"/>
                <w:szCs w:val="21"/>
              </w:rPr>
              <w:t>建设控制地带：西至保护范围外14.83米、南至保护范围外26.90米、东至保护范围外5.35米、北至保护范围外22.8米。</w:t>
            </w:r>
          </w:p>
          <w:p>
            <w:pPr>
              <w:spacing w:beforeLines="0" w:line="0" w:lineRule="atLeast"/>
              <w:ind w:left="0" w:leftChars="0"/>
              <w:jc w:val="left"/>
              <w:rPr>
                <w:sz w:val="21"/>
                <w:szCs w:val="21"/>
              </w:rPr>
            </w:pPr>
            <w:r>
              <w:rPr>
                <w:rFonts w:hint="eastAsia"/>
                <w:sz w:val="21"/>
                <w:szCs w:val="21"/>
              </w:rPr>
              <w:t>长裕川茶庄旧址</w:t>
            </w:r>
          </w:p>
          <w:p>
            <w:pPr>
              <w:spacing w:beforeLines="0" w:line="0" w:lineRule="atLeast"/>
              <w:ind w:left="0" w:leftChars="0"/>
              <w:jc w:val="left"/>
              <w:rPr>
                <w:sz w:val="21"/>
                <w:szCs w:val="21"/>
              </w:rPr>
            </w:pPr>
            <w:r>
              <w:rPr>
                <w:rFonts w:hint="eastAsia"/>
                <w:sz w:val="21"/>
                <w:szCs w:val="21"/>
              </w:rPr>
              <w:t>保护范围：东至文管所东墙8米、南至段家巷18号北墙2.4米、西至段家巷路沿石（马家巷1号东墙）3.2米、北至新道街61号前墙6米。</w:t>
            </w:r>
          </w:p>
          <w:p>
            <w:pPr>
              <w:spacing w:beforeLines="0" w:line="0" w:lineRule="atLeast"/>
              <w:ind w:left="0" w:leftChars="0"/>
              <w:jc w:val="left"/>
              <w:rPr>
                <w:sz w:val="21"/>
                <w:szCs w:val="21"/>
              </w:rPr>
            </w:pPr>
            <w:r>
              <w:rPr>
                <w:rFonts w:hint="eastAsia"/>
                <w:sz w:val="21"/>
                <w:szCs w:val="21"/>
              </w:rPr>
              <w:t>建设控制地带：东至新道街34号东墙16.4米、南至段家巷18号南墙15.2米、西至马家巷1号西墙17.2米、北至新道街63号后墙32.4米。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11</w:t>
            </w:r>
          </w:p>
        </w:tc>
        <w:tc>
          <w:tcPr>
            <w:tcW w:w="846" w:type="dxa"/>
            <w:vAlign w:val="center"/>
          </w:tcPr>
          <w:p>
            <w:pPr>
              <w:spacing w:beforeLines="0" w:line="0" w:lineRule="atLeast"/>
              <w:ind w:left="0" w:leftChars="0"/>
              <w:jc w:val="left"/>
              <w:rPr>
                <w:sz w:val="21"/>
                <w:szCs w:val="21"/>
              </w:rPr>
            </w:pPr>
            <w:r>
              <w:rPr>
                <w:rFonts w:hint="eastAsia"/>
                <w:sz w:val="21"/>
                <w:szCs w:val="21"/>
              </w:rPr>
              <w:t>兴梵寺</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宋</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祁县东观镇东观村</w:t>
            </w:r>
          </w:p>
        </w:tc>
        <w:tc>
          <w:tcPr>
            <w:tcW w:w="5528" w:type="dxa"/>
            <w:vAlign w:val="center"/>
          </w:tcPr>
          <w:p>
            <w:pPr>
              <w:spacing w:beforeLines="0" w:line="0" w:lineRule="atLeast"/>
              <w:ind w:left="0" w:leftChars="0"/>
              <w:jc w:val="left"/>
              <w:rPr>
                <w:sz w:val="21"/>
                <w:szCs w:val="21"/>
              </w:rPr>
            </w:pPr>
            <w:r>
              <w:rPr>
                <w:rFonts w:hint="eastAsia"/>
                <w:sz w:val="21"/>
                <w:szCs w:val="21"/>
              </w:rPr>
              <w:t>保护范围：以兴梵寺正殿台基四周为界，东至学生宿舍楼西墙、南至59米处、西至教学宿舍楼东墙、北至实验楼南墙。</w:t>
            </w:r>
          </w:p>
          <w:p>
            <w:pPr>
              <w:spacing w:beforeLines="0" w:line="0" w:lineRule="atLeast"/>
              <w:ind w:left="0" w:leftChars="0"/>
              <w:jc w:val="left"/>
              <w:rPr>
                <w:sz w:val="21"/>
                <w:szCs w:val="21"/>
              </w:rPr>
            </w:pPr>
            <w:r>
              <w:rPr>
                <w:rFonts w:hint="eastAsia"/>
                <w:sz w:val="21"/>
                <w:szCs w:val="21"/>
              </w:rPr>
              <w:t>建设控制地带：东至保护范围外29米（学生宿舍楼东墙）、南至保护范围外27米、西至保护范围外48米（教学楼西墙）、北至保护范围外18米（实验楼北墙）。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12</w:t>
            </w:r>
          </w:p>
        </w:tc>
        <w:tc>
          <w:tcPr>
            <w:tcW w:w="846" w:type="dxa"/>
            <w:vAlign w:val="center"/>
          </w:tcPr>
          <w:p>
            <w:pPr>
              <w:spacing w:beforeLines="0" w:line="0" w:lineRule="atLeast"/>
              <w:ind w:left="0" w:leftChars="0"/>
              <w:jc w:val="left"/>
              <w:rPr>
                <w:sz w:val="21"/>
                <w:szCs w:val="21"/>
              </w:rPr>
            </w:pPr>
            <w:r>
              <w:rPr>
                <w:rFonts w:hint="eastAsia"/>
                <w:sz w:val="21"/>
                <w:szCs w:val="21"/>
              </w:rPr>
              <w:t>平遥城墙</w:t>
            </w:r>
          </w:p>
        </w:tc>
        <w:tc>
          <w:tcPr>
            <w:tcW w:w="847" w:type="dxa"/>
            <w:vAlign w:val="center"/>
          </w:tcPr>
          <w:p>
            <w:pPr>
              <w:spacing w:beforeLines="0" w:line="0" w:lineRule="atLeast"/>
              <w:ind w:left="0" w:leftChars="0"/>
              <w:jc w:val="left"/>
              <w:rPr>
                <w:sz w:val="21"/>
                <w:szCs w:val="21"/>
              </w:rPr>
            </w:pPr>
            <w:r>
              <w:rPr>
                <w:rFonts w:hint="eastAsia"/>
                <w:sz w:val="21"/>
                <w:szCs w:val="21"/>
              </w:rPr>
              <w:t>明</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平遥县城内</w:t>
            </w:r>
          </w:p>
        </w:tc>
        <w:tc>
          <w:tcPr>
            <w:tcW w:w="5528" w:type="dxa"/>
            <w:vAlign w:val="center"/>
          </w:tcPr>
          <w:p>
            <w:pPr>
              <w:spacing w:beforeLines="0" w:line="0" w:lineRule="atLeast"/>
              <w:ind w:left="0" w:leftChars="0"/>
              <w:jc w:val="left"/>
              <w:rPr>
                <w:sz w:val="21"/>
                <w:szCs w:val="21"/>
              </w:rPr>
            </w:pPr>
            <w:r>
              <w:rPr>
                <w:rFonts w:hint="eastAsia"/>
                <w:sz w:val="21"/>
                <w:szCs w:val="21"/>
              </w:rPr>
              <w:t>保护范围：（1）墙体内侧自墙根10米，外侧自马面散水边起东与南各24米，西与北各30米；（2）瓮城内侧正侧三面各35米，外侧正侧三面各50米；（3）角台，内侧10米，外侧正侧两面各30米。</w:t>
            </w:r>
          </w:p>
          <w:p>
            <w:pPr>
              <w:spacing w:beforeLines="0" w:line="0" w:lineRule="atLeast"/>
              <w:ind w:left="0" w:leftChars="0"/>
              <w:jc w:val="left"/>
              <w:rPr>
                <w:sz w:val="21"/>
                <w:szCs w:val="21"/>
              </w:rPr>
            </w:pPr>
            <w:r>
              <w:rPr>
                <w:rFonts w:hint="eastAsia"/>
                <w:sz w:val="21"/>
                <w:szCs w:val="21"/>
              </w:rPr>
              <w:t>建设控制地带：东墙外500米，至惠济河（包括惠济河在内）；北墙外200——1000米，至南同蒲铁路南缘；西墙外380——580米至顺城路西缘；南墙外110——300米至柳根路南边东西南北四墙内全方位控制地带。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13</w:t>
            </w:r>
          </w:p>
        </w:tc>
        <w:tc>
          <w:tcPr>
            <w:tcW w:w="846" w:type="dxa"/>
            <w:vAlign w:val="center"/>
          </w:tcPr>
          <w:p>
            <w:pPr>
              <w:spacing w:beforeLines="0" w:line="0" w:lineRule="atLeast"/>
              <w:ind w:left="0" w:leftChars="0"/>
              <w:jc w:val="left"/>
              <w:rPr>
                <w:sz w:val="21"/>
                <w:szCs w:val="21"/>
              </w:rPr>
            </w:pPr>
            <w:r>
              <w:rPr>
                <w:rFonts w:hint="eastAsia"/>
                <w:sz w:val="21"/>
                <w:szCs w:val="21"/>
              </w:rPr>
              <w:t>镇国寺</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平遥县城内</w:t>
            </w:r>
          </w:p>
        </w:tc>
        <w:tc>
          <w:tcPr>
            <w:tcW w:w="5528" w:type="dxa"/>
            <w:vAlign w:val="center"/>
          </w:tcPr>
          <w:p>
            <w:pPr>
              <w:spacing w:beforeLines="0" w:line="0" w:lineRule="atLeast"/>
              <w:ind w:left="0" w:leftChars="0"/>
              <w:jc w:val="left"/>
              <w:rPr>
                <w:sz w:val="21"/>
                <w:szCs w:val="21"/>
              </w:rPr>
            </w:pPr>
            <w:r>
              <w:rPr>
                <w:rFonts w:hint="eastAsia"/>
                <w:sz w:val="21"/>
                <w:szCs w:val="21"/>
              </w:rPr>
              <w:t>保护范围：东、北各至围墙外30米，南至便道南沿，西至省文物局木材库西围墙外10米。</w:t>
            </w:r>
          </w:p>
          <w:p>
            <w:pPr>
              <w:spacing w:beforeLines="0" w:line="0" w:lineRule="atLeast"/>
              <w:ind w:left="0" w:leftChars="0"/>
              <w:jc w:val="left"/>
              <w:rPr>
                <w:sz w:val="21"/>
                <w:szCs w:val="21"/>
              </w:rPr>
            </w:pPr>
            <w:r>
              <w:rPr>
                <w:rFonts w:hint="eastAsia"/>
                <w:sz w:val="21"/>
                <w:szCs w:val="21"/>
              </w:rPr>
              <w:t>建设控制地带（一类）：东、南各至保护范围外200米，北至保护范围外100米，西至保护范围外150米。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14</w:t>
            </w:r>
          </w:p>
        </w:tc>
        <w:tc>
          <w:tcPr>
            <w:tcW w:w="846" w:type="dxa"/>
            <w:vAlign w:val="center"/>
          </w:tcPr>
          <w:p>
            <w:pPr>
              <w:spacing w:beforeLines="0" w:line="0" w:lineRule="atLeast"/>
              <w:ind w:left="0" w:leftChars="0"/>
              <w:jc w:val="left"/>
              <w:rPr>
                <w:sz w:val="21"/>
                <w:szCs w:val="21"/>
              </w:rPr>
            </w:pPr>
            <w:r>
              <w:rPr>
                <w:rFonts w:hint="eastAsia"/>
                <w:sz w:val="21"/>
                <w:szCs w:val="21"/>
              </w:rPr>
              <w:t>双林寺</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平遥县城内</w:t>
            </w:r>
          </w:p>
        </w:tc>
        <w:tc>
          <w:tcPr>
            <w:tcW w:w="5528" w:type="dxa"/>
            <w:vAlign w:val="center"/>
          </w:tcPr>
          <w:p>
            <w:pPr>
              <w:spacing w:beforeLines="0" w:line="0" w:lineRule="atLeast"/>
              <w:ind w:left="0" w:leftChars="0"/>
              <w:jc w:val="left"/>
              <w:rPr>
                <w:sz w:val="21"/>
                <w:szCs w:val="21"/>
              </w:rPr>
            </w:pPr>
            <w:r>
              <w:rPr>
                <w:rFonts w:hint="eastAsia"/>
                <w:sz w:val="21"/>
                <w:szCs w:val="21"/>
              </w:rPr>
              <w:t>保护范围：东至桥头学校围墙外30米，西至柏油路西沿，南至围墙外30米，北至土墙外60米。</w:t>
            </w:r>
          </w:p>
          <w:p>
            <w:pPr>
              <w:spacing w:beforeLines="0" w:line="0" w:lineRule="atLeast"/>
              <w:ind w:left="0" w:leftChars="0"/>
              <w:jc w:val="left"/>
              <w:rPr>
                <w:sz w:val="21"/>
                <w:szCs w:val="21"/>
              </w:rPr>
            </w:pPr>
            <w:r>
              <w:rPr>
                <w:rFonts w:hint="eastAsia"/>
                <w:sz w:val="21"/>
                <w:szCs w:val="21"/>
              </w:rPr>
              <w:t>建设控制地带（一类）：东、西各至保护范围外200米，北至保护范围外120米，南至保护范围外150米。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15</w:t>
            </w:r>
          </w:p>
        </w:tc>
        <w:tc>
          <w:tcPr>
            <w:tcW w:w="846" w:type="dxa"/>
            <w:vAlign w:val="center"/>
          </w:tcPr>
          <w:p>
            <w:pPr>
              <w:spacing w:beforeLines="0" w:line="0" w:lineRule="atLeast"/>
              <w:ind w:left="0" w:leftChars="0"/>
              <w:jc w:val="left"/>
              <w:rPr>
                <w:sz w:val="21"/>
                <w:szCs w:val="21"/>
              </w:rPr>
            </w:pPr>
            <w:r>
              <w:rPr>
                <w:rFonts w:hint="eastAsia"/>
                <w:sz w:val="21"/>
                <w:szCs w:val="21"/>
              </w:rPr>
              <w:t>慈相寺</w:t>
            </w:r>
          </w:p>
        </w:tc>
        <w:tc>
          <w:tcPr>
            <w:tcW w:w="847" w:type="dxa"/>
            <w:vAlign w:val="center"/>
          </w:tcPr>
          <w:p>
            <w:pPr>
              <w:spacing w:beforeLines="0" w:line="0" w:lineRule="atLeast"/>
              <w:ind w:left="0" w:leftChars="0"/>
              <w:jc w:val="left"/>
              <w:rPr>
                <w:sz w:val="21"/>
                <w:szCs w:val="21"/>
              </w:rPr>
            </w:pPr>
            <w:r>
              <w:rPr>
                <w:rFonts w:hint="eastAsia"/>
                <w:sz w:val="21"/>
                <w:szCs w:val="21"/>
              </w:rPr>
              <w:t>北宋至清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平遥县沿村堡乡冀郭村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保护范围：东、西各至土墙外15米，南至土墙外10米，北至塔北20米。</w:t>
            </w:r>
          </w:p>
          <w:p>
            <w:pPr>
              <w:spacing w:beforeLines="0" w:line="0" w:lineRule="atLeast"/>
              <w:ind w:left="0" w:leftChars="0"/>
              <w:jc w:val="left"/>
              <w:rPr>
                <w:sz w:val="21"/>
                <w:szCs w:val="21"/>
              </w:rPr>
            </w:pPr>
            <w:r>
              <w:rPr>
                <w:rFonts w:hint="eastAsia"/>
                <w:sz w:val="21"/>
                <w:szCs w:val="21"/>
              </w:rPr>
              <w:t>建设控制地带：南、北各至保护范围外100米，东、西各至保护范围外150米。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16</w:t>
            </w:r>
          </w:p>
        </w:tc>
        <w:tc>
          <w:tcPr>
            <w:tcW w:w="846" w:type="dxa"/>
            <w:vAlign w:val="center"/>
          </w:tcPr>
          <w:p>
            <w:pPr>
              <w:spacing w:beforeLines="0" w:line="0" w:lineRule="atLeast"/>
              <w:ind w:left="0" w:leftChars="0"/>
              <w:jc w:val="left"/>
              <w:rPr>
                <w:sz w:val="21"/>
                <w:szCs w:val="21"/>
              </w:rPr>
            </w:pPr>
            <w:r>
              <w:rPr>
                <w:rFonts w:hint="eastAsia"/>
                <w:sz w:val="21"/>
                <w:szCs w:val="21"/>
              </w:rPr>
              <w:t>平遥文庙</w:t>
            </w:r>
          </w:p>
        </w:tc>
        <w:tc>
          <w:tcPr>
            <w:tcW w:w="847" w:type="dxa"/>
            <w:vAlign w:val="center"/>
          </w:tcPr>
          <w:p>
            <w:pPr>
              <w:spacing w:beforeLines="0" w:line="0" w:lineRule="atLeast"/>
              <w:ind w:left="0" w:leftChars="0"/>
              <w:jc w:val="left"/>
              <w:rPr>
                <w:sz w:val="21"/>
                <w:szCs w:val="21"/>
              </w:rPr>
            </w:pPr>
            <w:r>
              <w:rPr>
                <w:rFonts w:hint="eastAsia"/>
                <w:sz w:val="21"/>
                <w:szCs w:val="21"/>
              </w:rPr>
              <w:t>金至清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平遥县城</w:t>
            </w:r>
          </w:p>
        </w:tc>
        <w:tc>
          <w:tcPr>
            <w:tcW w:w="5528" w:type="dxa"/>
            <w:vAlign w:val="center"/>
          </w:tcPr>
          <w:p>
            <w:pPr>
              <w:spacing w:beforeLines="0" w:line="0" w:lineRule="atLeast"/>
              <w:ind w:left="0" w:leftChars="0"/>
              <w:jc w:val="left"/>
              <w:rPr>
                <w:sz w:val="21"/>
                <w:szCs w:val="21"/>
              </w:rPr>
            </w:pPr>
            <w:r>
              <w:rPr>
                <w:rFonts w:hint="eastAsia"/>
                <w:sz w:val="21"/>
                <w:szCs w:val="21"/>
              </w:rPr>
              <w:t>保护范围：北至城隍庙街北沿，南接城墙保护范围，西至南新道街西沿，东至安家街东沿。</w:t>
            </w:r>
          </w:p>
          <w:p>
            <w:pPr>
              <w:spacing w:beforeLines="0" w:line="0" w:lineRule="atLeast"/>
              <w:ind w:left="0" w:leftChars="0"/>
              <w:jc w:val="left"/>
              <w:rPr>
                <w:sz w:val="21"/>
                <w:szCs w:val="21"/>
              </w:rPr>
            </w:pPr>
            <w:r>
              <w:rPr>
                <w:rFonts w:hint="eastAsia"/>
                <w:sz w:val="21"/>
                <w:szCs w:val="21"/>
              </w:rPr>
              <w:t>建设控制地带：城墙内全城。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17</w:t>
            </w:r>
          </w:p>
        </w:tc>
        <w:tc>
          <w:tcPr>
            <w:tcW w:w="846" w:type="dxa"/>
            <w:vAlign w:val="center"/>
          </w:tcPr>
          <w:p>
            <w:pPr>
              <w:spacing w:beforeLines="0" w:line="0" w:lineRule="atLeast"/>
              <w:ind w:left="0" w:leftChars="0"/>
              <w:jc w:val="left"/>
              <w:rPr>
                <w:sz w:val="21"/>
                <w:szCs w:val="21"/>
              </w:rPr>
            </w:pPr>
            <w:r>
              <w:rPr>
                <w:rFonts w:hint="eastAsia"/>
                <w:sz w:val="21"/>
                <w:szCs w:val="21"/>
              </w:rPr>
              <w:t>利应侯庙</w:t>
            </w:r>
          </w:p>
        </w:tc>
        <w:tc>
          <w:tcPr>
            <w:tcW w:w="847" w:type="dxa"/>
            <w:vAlign w:val="center"/>
          </w:tcPr>
          <w:p>
            <w:pPr>
              <w:spacing w:beforeLines="0" w:line="0" w:lineRule="atLeast"/>
              <w:ind w:left="0" w:leftChars="0"/>
              <w:jc w:val="left"/>
              <w:rPr>
                <w:sz w:val="21"/>
                <w:szCs w:val="21"/>
              </w:rPr>
            </w:pPr>
            <w:r>
              <w:rPr>
                <w:rFonts w:hint="eastAsia"/>
                <w:sz w:val="21"/>
                <w:szCs w:val="21"/>
              </w:rPr>
              <w:t>元</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平遥县襄垣乡郝洞村</w:t>
            </w:r>
          </w:p>
        </w:tc>
        <w:tc>
          <w:tcPr>
            <w:tcW w:w="5528" w:type="dxa"/>
            <w:vAlign w:val="center"/>
          </w:tcPr>
          <w:p>
            <w:pPr>
              <w:spacing w:beforeLines="0" w:line="0" w:lineRule="atLeast"/>
              <w:ind w:left="0" w:leftChars="0"/>
              <w:jc w:val="left"/>
              <w:rPr>
                <w:sz w:val="21"/>
                <w:szCs w:val="21"/>
              </w:rPr>
            </w:pPr>
            <w:r>
              <w:rPr>
                <w:rFonts w:hint="eastAsia"/>
                <w:sz w:val="21"/>
                <w:szCs w:val="21"/>
              </w:rPr>
              <w:t>保护范围：北至正殿后墙外14米、东接镇国寺古建区、西至耳殿墙基以西15米、南以正殿后基向南37米。</w:t>
            </w:r>
          </w:p>
          <w:p>
            <w:pPr>
              <w:spacing w:beforeLines="0" w:line="0" w:lineRule="atLeast"/>
              <w:ind w:left="0" w:leftChars="0"/>
              <w:jc w:val="left"/>
              <w:rPr>
                <w:sz w:val="21"/>
                <w:szCs w:val="21"/>
              </w:rPr>
            </w:pPr>
            <w:r>
              <w:rPr>
                <w:rFonts w:hint="eastAsia"/>
                <w:sz w:val="21"/>
                <w:szCs w:val="21"/>
              </w:rPr>
              <w:t>建设控制地带：东至镇国寺西围墙、北至正殿后墙北140米、西至耳殿西墙外200米、南以正殿前台基南130米。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18</w:t>
            </w:r>
          </w:p>
        </w:tc>
        <w:tc>
          <w:tcPr>
            <w:tcW w:w="846" w:type="dxa"/>
            <w:vAlign w:val="center"/>
          </w:tcPr>
          <w:p>
            <w:pPr>
              <w:spacing w:beforeLines="0" w:line="0" w:lineRule="atLeast"/>
              <w:ind w:left="0" w:leftChars="0"/>
              <w:jc w:val="left"/>
              <w:rPr>
                <w:sz w:val="21"/>
                <w:szCs w:val="21"/>
              </w:rPr>
            </w:pPr>
            <w:r>
              <w:rPr>
                <w:rFonts w:hint="eastAsia"/>
                <w:sz w:val="21"/>
                <w:szCs w:val="21"/>
              </w:rPr>
              <w:t>平遥清凉寺</w:t>
            </w:r>
          </w:p>
        </w:tc>
        <w:tc>
          <w:tcPr>
            <w:tcW w:w="847" w:type="dxa"/>
            <w:vAlign w:val="center"/>
          </w:tcPr>
          <w:p>
            <w:pPr>
              <w:spacing w:beforeLines="0" w:line="0" w:lineRule="atLeast"/>
              <w:ind w:left="0" w:leftChars="0"/>
              <w:jc w:val="left"/>
              <w:rPr>
                <w:sz w:val="21"/>
                <w:szCs w:val="21"/>
              </w:rPr>
            </w:pPr>
            <w:r>
              <w:rPr>
                <w:rFonts w:hint="eastAsia"/>
                <w:sz w:val="21"/>
                <w:szCs w:val="21"/>
              </w:rPr>
              <w:t>明至清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平遥县卜宜乡永城村</w:t>
            </w:r>
          </w:p>
        </w:tc>
        <w:tc>
          <w:tcPr>
            <w:tcW w:w="5528" w:type="dxa"/>
            <w:vAlign w:val="center"/>
          </w:tcPr>
          <w:p>
            <w:pPr>
              <w:spacing w:beforeLines="0" w:line="0" w:lineRule="atLeast"/>
              <w:ind w:left="0" w:leftChars="0"/>
              <w:jc w:val="left"/>
              <w:rPr>
                <w:sz w:val="21"/>
                <w:szCs w:val="21"/>
              </w:rPr>
            </w:pPr>
            <w:r>
              <w:rPr>
                <w:rFonts w:hint="eastAsia"/>
                <w:sz w:val="21"/>
                <w:szCs w:val="21"/>
              </w:rPr>
              <w:t>保护范围：北以正殿后墙向北10米、东以东殿后墙至沟底27米、西以西殿后墙至土墙根25米、南至山门以南33米。</w:t>
            </w:r>
          </w:p>
          <w:p>
            <w:pPr>
              <w:spacing w:beforeLines="0" w:line="0" w:lineRule="atLeast"/>
              <w:ind w:left="0" w:leftChars="0"/>
              <w:jc w:val="left"/>
              <w:rPr>
                <w:sz w:val="21"/>
                <w:szCs w:val="21"/>
              </w:rPr>
            </w:pPr>
            <w:r>
              <w:rPr>
                <w:rFonts w:hint="eastAsia"/>
                <w:sz w:val="21"/>
                <w:szCs w:val="21"/>
              </w:rPr>
              <w:t>建设控制地带：北至正殿后墙北75米、东至东殿后墙向东75米、西至西殿后墙西73米、南至山门以南100米。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19</w:t>
            </w:r>
          </w:p>
        </w:tc>
        <w:tc>
          <w:tcPr>
            <w:tcW w:w="846" w:type="dxa"/>
            <w:vAlign w:val="center"/>
          </w:tcPr>
          <w:p>
            <w:pPr>
              <w:spacing w:beforeLines="0" w:line="0" w:lineRule="atLeast"/>
              <w:ind w:left="0" w:leftChars="0"/>
              <w:jc w:val="left"/>
              <w:rPr>
                <w:sz w:val="21"/>
                <w:szCs w:val="21"/>
              </w:rPr>
            </w:pPr>
            <w:r>
              <w:rPr>
                <w:rFonts w:hint="eastAsia"/>
                <w:sz w:val="21"/>
                <w:szCs w:val="21"/>
              </w:rPr>
              <w:t>清虚观</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元至清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平遥县城</w:t>
            </w:r>
          </w:p>
        </w:tc>
        <w:tc>
          <w:tcPr>
            <w:tcW w:w="5528" w:type="dxa"/>
            <w:vAlign w:val="center"/>
          </w:tcPr>
          <w:p>
            <w:pPr>
              <w:spacing w:beforeLines="0" w:line="0" w:lineRule="atLeast"/>
              <w:ind w:left="0" w:leftChars="0"/>
              <w:jc w:val="left"/>
              <w:rPr>
                <w:sz w:val="21"/>
                <w:szCs w:val="21"/>
              </w:rPr>
            </w:pPr>
            <w:r>
              <w:rPr>
                <w:rFonts w:hint="eastAsia"/>
                <w:sz w:val="21"/>
                <w:szCs w:val="21"/>
              </w:rPr>
              <w:t>保护范围：东至观道巷东沿、南至东大街马路南沿、西至清虚观使用范围及围墙、西南部包括原关帝庙（今东大街107号院全部）、北至清虚观围墙及其延长线。</w:t>
            </w:r>
          </w:p>
          <w:p>
            <w:pPr>
              <w:spacing w:beforeLines="0" w:line="0" w:lineRule="atLeast"/>
              <w:ind w:left="0" w:leftChars="0"/>
              <w:jc w:val="left"/>
              <w:rPr>
                <w:sz w:val="21"/>
                <w:szCs w:val="21"/>
              </w:rPr>
            </w:pPr>
            <w:r>
              <w:rPr>
                <w:rFonts w:hint="eastAsia"/>
                <w:sz w:val="21"/>
                <w:szCs w:val="21"/>
              </w:rPr>
              <w:t>建设控制地带：东接城墙墙里保护范围、西至距清虚观门前马路南沿60米的平行线、南至邵家巷西沿及其南北延长线、北至清虚观北围墙60米的平行线。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20</w:t>
            </w:r>
          </w:p>
        </w:tc>
        <w:tc>
          <w:tcPr>
            <w:tcW w:w="846" w:type="dxa"/>
            <w:vAlign w:val="center"/>
          </w:tcPr>
          <w:p>
            <w:pPr>
              <w:spacing w:beforeLines="0" w:line="0" w:lineRule="atLeast"/>
              <w:ind w:left="0" w:leftChars="0"/>
              <w:jc w:val="left"/>
              <w:rPr>
                <w:sz w:val="21"/>
                <w:szCs w:val="21"/>
              </w:rPr>
            </w:pPr>
            <w:r>
              <w:rPr>
                <w:rFonts w:hint="eastAsia"/>
                <w:sz w:val="21"/>
                <w:szCs w:val="21"/>
              </w:rPr>
              <w:t>金庄文庙</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元至清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平遥县岳壁乡金庄村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保护范围：东至龙王庙东围墙庙前路南至南北向通道的东沿、南至距门墙25米的平行线、西至庙墙外通道的西沿（至文庙西廊房后墙2.5米）、北至庙后通道。</w:t>
            </w:r>
          </w:p>
          <w:p>
            <w:pPr>
              <w:spacing w:beforeLines="0" w:line="0" w:lineRule="atLeast"/>
              <w:ind w:left="0" w:leftChars="0"/>
              <w:jc w:val="left"/>
              <w:rPr>
                <w:sz w:val="21"/>
                <w:szCs w:val="21"/>
              </w:rPr>
            </w:pPr>
            <w:r>
              <w:rPr>
                <w:rFonts w:hint="eastAsia"/>
                <w:sz w:val="21"/>
                <w:szCs w:val="21"/>
              </w:rPr>
              <w:t>建设控制地带：东至距保护范围56.4米的金庄学校东围墙、南至距大门墙45米的平行线、西至距文庙西围墙66米村外南北大路、北至距保护范围40米的平行线。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21</w:t>
            </w:r>
          </w:p>
        </w:tc>
        <w:tc>
          <w:tcPr>
            <w:tcW w:w="846" w:type="dxa"/>
            <w:vAlign w:val="center"/>
          </w:tcPr>
          <w:p>
            <w:pPr>
              <w:spacing w:beforeLines="0" w:line="0" w:lineRule="atLeast"/>
              <w:ind w:left="0" w:leftChars="0"/>
              <w:jc w:val="left"/>
              <w:rPr>
                <w:sz w:val="21"/>
                <w:szCs w:val="21"/>
              </w:rPr>
            </w:pPr>
            <w:r>
              <w:rPr>
                <w:rFonts w:hint="eastAsia"/>
                <w:sz w:val="21"/>
                <w:szCs w:val="21"/>
              </w:rPr>
              <w:t>日升昌旧址</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平遥县城内西大街38号</w:t>
            </w:r>
          </w:p>
        </w:tc>
        <w:tc>
          <w:tcPr>
            <w:tcW w:w="5528" w:type="dxa"/>
            <w:vAlign w:val="center"/>
          </w:tcPr>
          <w:p>
            <w:pPr>
              <w:spacing w:beforeLines="0" w:line="0" w:lineRule="atLeast"/>
              <w:ind w:left="0" w:leftChars="0"/>
              <w:jc w:val="left"/>
              <w:rPr>
                <w:sz w:val="21"/>
                <w:szCs w:val="21"/>
              </w:rPr>
            </w:pPr>
            <w:r>
              <w:rPr>
                <w:rFonts w:hint="eastAsia"/>
                <w:sz w:val="21"/>
                <w:szCs w:val="21"/>
              </w:rPr>
              <w:t>保护范围：东与蔚泰厚票号旧址（西大街36号院）分界、南至东郭家巷路南、西包括日新中钱庄旧址（即西大街40号院）与西大街42号院分界、北至西大街北沿。</w:t>
            </w:r>
          </w:p>
          <w:p>
            <w:pPr>
              <w:spacing w:beforeLines="0" w:line="0" w:lineRule="atLeast"/>
              <w:ind w:left="0" w:leftChars="0"/>
              <w:jc w:val="left"/>
              <w:rPr>
                <w:sz w:val="21"/>
                <w:szCs w:val="21"/>
              </w:rPr>
            </w:pPr>
            <w:r>
              <w:rPr>
                <w:rFonts w:hint="eastAsia"/>
                <w:sz w:val="21"/>
                <w:szCs w:val="21"/>
              </w:rPr>
              <w:t>建设控制地带：东至南大街及鹦鹅巷路东、南至保护范围及其东西延长线、西至二合木厂巷路西及北大街、北至西圪垛巷。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22</w:t>
            </w:r>
          </w:p>
        </w:tc>
        <w:tc>
          <w:tcPr>
            <w:tcW w:w="846" w:type="dxa"/>
            <w:vAlign w:val="center"/>
          </w:tcPr>
          <w:p>
            <w:pPr>
              <w:spacing w:beforeLines="0" w:line="0" w:lineRule="atLeast"/>
              <w:ind w:left="0" w:leftChars="0"/>
              <w:jc w:val="left"/>
              <w:rPr>
                <w:sz w:val="21"/>
                <w:szCs w:val="21"/>
              </w:rPr>
            </w:pPr>
            <w:r>
              <w:rPr>
                <w:rFonts w:hint="eastAsia"/>
                <w:sz w:val="21"/>
                <w:szCs w:val="21"/>
              </w:rPr>
              <w:t>平遥城隍庙</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平遥县城内城隍庙街</w:t>
            </w:r>
          </w:p>
        </w:tc>
        <w:tc>
          <w:tcPr>
            <w:tcW w:w="5528" w:type="dxa"/>
            <w:vAlign w:val="center"/>
          </w:tcPr>
          <w:p>
            <w:pPr>
              <w:spacing w:beforeLines="0" w:line="0" w:lineRule="atLeast"/>
              <w:ind w:left="0" w:leftChars="0"/>
              <w:jc w:val="left"/>
              <w:rPr>
                <w:sz w:val="21"/>
                <w:szCs w:val="21"/>
              </w:rPr>
            </w:pPr>
            <w:r>
              <w:rPr>
                <w:rFonts w:hint="eastAsia"/>
                <w:sz w:val="21"/>
                <w:szCs w:val="21"/>
              </w:rPr>
              <w:t>保护范围：北至娘娘殿后墙内，东至六曹府后围延伸线以南，东厢围墙以东32米，南北50米（道院正房后墙以南），西至米粮市街路西边沿，南至牌楼（山门）向南20米</w:t>
            </w:r>
          </w:p>
          <w:p>
            <w:pPr>
              <w:spacing w:beforeLines="0" w:line="0" w:lineRule="atLeast"/>
              <w:ind w:left="0" w:leftChars="0"/>
              <w:jc w:val="left"/>
              <w:rPr>
                <w:sz w:val="21"/>
                <w:szCs w:val="21"/>
              </w:rPr>
            </w:pPr>
            <w:r>
              <w:rPr>
                <w:rFonts w:hint="eastAsia"/>
                <w:sz w:val="21"/>
                <w:szCs w:val="21"/>
              </w:rPr>
              <w:t>建设控制地带：古城墙以内。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23</w:t>
            </w:r>
          </w:p>
        </w:tc>
        <w:tc>
          <w:tcPr>
            <w:tcW w:w="846" w:type="dxa"/>
            <w:vAlign w:val="center"/>
          </w:tcPr>
          <w:p>
            <w:pPr>
              <w:spacing w:beforeLines="0" w:line="0" w:lineRule="atLeast"/>
              <w:ind w:left="0" w:leftChars="0"/>
              <w:jc w:val="left"/>
              <w:rPr>
                <w:sz w:val="21"/>
                <w:szCs w:val="21"/>
              </w:rPr>
            </w:pPr>
            <w:r>
              <w:rPr>
                <w:rFonts w:hint="eastAsia"/>
                <w:sz w:val="21"/>
                <w:szCs w:val="21"/>
              </w:rPr>
              <w:t>祆神楼</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介休市城内</w:t>
            </w:r>
          </w:p>
        </w:tc>
        <w:tc>
          <w:tcPr>
            <w:tcW w:w="5528" w:type="dxa"/>
            <w:vAlign w:val="center"/>
          </w:tcPr>
          <w:p>
            <w:pPr>
              <w:spacing w:beforeLines="0" w:line="0" w:lineRule="atLeast"/>
              <w:ind w:left="0" w:leftChars="0"/>
              <w:jc w:val="left"/>
              <w:rPr>
                <w:sz w:val="21"/>
                <w:szCs w:val="21"/>
              </w:rPr>
            </w:pPr>
            <w:r>
              <w:rPr>
                <w:rFonts w:hint="eastAsia"/>
                <w:sz w:val="21"/>
                <w:szCs w:val="21"/>
              </w:rPr>
              <w:t>保护范围：北至庙北围墙以北20米，南至祆神楼南15米，东至祆神楼东围墙以东20米，西至祆神庙西围墙以西24米。</w:t>
            </w:r>
          </w:p>
          <w:p>
            <w:pPr>
              <w:spacing w:beforeLines="0" w:line="0" w:lineRule="atLeast"/>
              <w:ind w:left="0" w:leftChars="0"/>
              <w:jc w:val="left"/>
              <w:rPr>
                <w:sz w:val="21"/>
                <w:szCs w:val="21"/>
              </w:rPr>
            </w:pPr>
            <w:r>
              <w:rPr>
                <w:rFonts w:hint="eastAsia"/>
                <w:sz w:val="21"/>
                <w:szCs w:val="21"/>
              </w:rPr>
              <w:t>建设控制地带：北至保护范围以北324米郭家村，南至保护范围以南300米朝阳路，东至保护范围以东236米，西至保护范围以西320米北水门一港道河。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24</w:t>
            </w:r>
          </w:p>
        </w:tc>
        <w:tc>
          <w:tcPr>
            <w:tcW w:w="846" w:type="dxa"/>
            <w:vAlign w:val="center"/>
          </w:tcPr>
          <w:p>
            <w:pPr>
              <w:spacing w:beforeLines="0" w:line="0" w:lineRule="atLeast"/>
              <w:ind w:left="0" w:leftChars="0"/>
              <w:jc w:val="left"/>
              <w:rPr>
                <w:sz w:val="21"/>
                <w:szCs w:val="21"/>
              </w:rPr>
            </w:pPr>
            <w:r>
              <w:rPr>
                <w:rFonts w:hint="eastAsia"/>
                <w:sz w:val="21"/>
                <w:szCs w:val="21"/>
              </w:rPr>
              <w:t>介休后土庙</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明清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介休市城内</w:t>
            </w:r>
          </w:p>
        </w:tc>
        <w:tc>
          <w:tcPr>
            <w:tcW w:w="5528" w:type="dxa"/>
            <w:vAlign w:val="center"/>
          </w:tcPr>
          <w:p>
            <w:pPr>
              <w:spacing w:beforeLines="0" w:line="0" w:lineRule="atLeast"/>
              <w:ind w:left="0" w:leftChars="0"/>
              <w:jc w:val="left"/>
              <w:rPr>
                <w:sz w:val="21"/>
                <w:szCs w:val="21"/>
              </w:rPr>
            </w:pPr>
            <w:r>
              <w:rPr>
                <w:rFonts w:hint="eastAsia"/>
                <w:sz w:val="21"/>
                <w:szCs w:val="21"/>
              </w:rPr>
              <w:t>保护范围：北至后墙外18米至瓜市街北沿；南至三清观影壁南16米。东至庙东墙外16米，西至庙西墙外16米。</w:t>
            </w:r>
          </w:p>
          <w:p>
            <w:pPr>
              <w:spacing w:beforeLines="0" w:line="0" w:lineRule="atLeast"/>
              <w:ind w:left="0" w:leftChars="0"/>
              <w:jc w:val="left"/>
              <w:rPr>
                <w:sz w:val="21"/>
                <w:szCs w:val="21"/>
              </w:rPr>
            </w:pPr>
            <w:r>
              <w:rPr>
                <w:rFonts w:hint="eastAsia"/>
                <w:sz w:val="21"/>
                <w:szCs w:val="21"/>
              </w:rPr>
              <w:t>建设控制地带：北至保护范围以北286米体育场北墙根，南至保护范围以南236米西大街，东至保护范围以东150米新华路——北大街，西至保护范围以西260米北河沿。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25</w:t>
            </w:r>
          </w:p>
        </w:tc>
        <w:tc>
          <w:tcPr>
            <w:tcW w:w="846" w:type="dxa"/>
            <w:vAlign w:val="center"/>
          </w:tcPr>
          <w:p>
            <w:pPr>
              <w:spacing w:beforeLines="0" w:line="0" w:lineRule="atLeast"/>
              <w:ind w:left="0" w:leftChars="0"/>
              <w:jc w:val="left"/>
              <w:rPr>
                <w:sz w:val="21"/>
                <w:szCs w:val="21"/>
              </w:rPr>
            </w:pPr>
            <w:r>
              <w:rPr>
                <w:rFonts w:hint="eastAsia"/>
                <w:sz w:val="21"/>
                <w:szCs w:val="21"/>
              </w:rPr>
              <w:t>洪山窑址</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宋至清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介休洪山镇洪山、磨沟村</w:t>
            </w:r>
          </w:p>
        </w:tc>
        <w:tc>
          <w:tcPr>
            <w:tcW w:w="5528" w:type="dxa"/>
            <w:vAlign w:val="center"/>
          </w:tcPr>
          <w:p>
            <w:pPr>
              <w:spacing w:beforeLines="0" w:line="0" w:lineRule="atLeast"/>
              <w:ind w:left="0" w:leftChars="0"/>
              <w:jc w:val="left"/>
              <w:rPr>
                <w:sz w:val="21"/>
                <w:szCs w:val="21"/>
              </w:rPr>
            </w:pPr>
            <w:r>
              <w:rPr>
                <w:rFonts w:hint="eastAsia"/>
                <w:sz w:val="21"/>
                <w:szCs w:val="21"/>
              </w:rPr>
              <w:t>保护范围：以保护标志为基点，以东80米、以南60米、以西80米、以北80米。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26</w:t>
            </w:r>
          </w:p>
        </w:tc>
        <w:tc>
          <w:tcPr>
            <w:tcW w:w="846" w:type="dxa"/>
            <w:vAlign w:val="center"/>
          </w:tcPr>
          <w:p>
            <w:pPr>
              <w:spacing w:beforeLines="0" w:line="0" w:lineRule="atLeast"/>
              <w:ind w:left="0" w:leftChars="0"/>
              <w:jc w:val="left"/>
              <w:rPr>
                <w:sz w:val="21"/>
                <w:szCs w:val="21"/>
              </w:rPr>
            </w:pPr>
            <w:r>
              <w:rPr>
                <w:rFonts w:hint="eastAsia"/>
                <w:sz w:val="21"/>
                <w:szCs w:val="21"/>
              </w:rPr>
              <w:t>回銮寺</w:t>
            </w:r>
          </w:p>
        </w:tc>
        <w:tc>
          <w:tcPr>
            <w:tcW w:w="847" w:type="dxa"/>
            <w:vAlign w:val="center"/>
          </w:tcPr>
          <w:p>
            <w:pPr>
              <w:spacing w:beforeLines="0" w:line="0" w:lineRule="atLeast"/>
              <w:ind w:left="0" w:leftChars="0"/>
              <w:jc w:val="left"/>
              <w:rPr>
                <w:sz w:val="21"/>
                <w:szCs w:val="21"/>
              </w:rPr>
            </w:pPr>
            <w:r>
              <w:rPr>
                <w:rFonts w:hint="eastAsia"/>
                <w:sz w:val="21"/>
                <w:szCs w:val="21"/>
              </w:rPr>
              <w:t>元至清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介休市绵山镇兴地村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保护范围：东至窑洞后墙外28米、南至围墙外20米、西至窑洞后墙外30米、北至窑洞后墙外24米。</w:t>
            </w:r>
          </w:p>
          <w:p>
            <w:pPr>
              <w:spacing w:beforeLines="0" w:line="0" w:lineRule="atLeast"/>
              <w:ind w:left="0" w:leftChars="0"/>
              <w:jc w:val="left"/>
              <w:rPr>
                <w:sz w:val="21"/>
                <w:szCs w:val="21"/>
              </w:rPr>
            </w:pPr>
            <w:r>
              <w:rPr>
                <w:rFonts w:hint="eastAsia"/>
                <w:sz w:val="21"/>
                <w:szCs w:val="21"/>
              </w:rPr>
              <w:t>建设控制地带：东至保护范围外224米、南至保护范围外246米、西至保护范围外232米、北至保护范围外272米。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27</w:t>
            </w:r>
          </w:p>
        </w:tc>
        <w:tc>
          <w:tcPr>
            <w:tcW w:w="846" w:type="dxa"/>
            <w:vAlign w:val="center"/>
          </w:tcPr>
          <w:p>
            <w:pPr>
              <w:spacing w:beforeLines="0" w:line="0" w:lineRule="atLeast"/>
              <w:ind w:left="0" w:leftChars="0"/>
              <w:jc w:val="left"/>
              <w:rPr>
                <w:sz w:val="21"/>
                <w:szCs w:val="21"/>
              </w:rPr>
            </w:pPr>
            <w:r>
              <w:rPr>
                <w:rFonts w:hint="eastAsia"/>
                <w:sz w:val="21"/>
                <w:szCs w:val="21"/>
              </w:rPr>
              <w:t>太和岩牌楼</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介休市义安镇北辛武村</w:t>
            </w:r>
          </w:p>
        </w:tc>
        <w:tc>
          <w:tcPr>
            <w:tcW w:w="5528" w:type="dxa"/>
            <w:vAlign w:val="center"/>
          </w:tcPr>
          <w:p>
            <w:pPr>
              <w:spacing w:beforeLines="0" w:line="0" w:lineRule="atLeast"/>
              <w:ind w:left="0" w:leftChars="0"/>
              <w:jc w:val="left"/>
              <w:rPr>
                <w:sz w:val="21"/>
                <w:szCs w:val="21"/>
              </w:rPr>
            </w:pPr>
            <w:r>
              <w:rPr>
                <w:rFonts w:hint="eastAsia"/>
                <w:sz w:val="21"/>
                <w:szCs w:val="21"/>
              </w:rPr>
              <w:t>保护范围：以牌楼中心点为基点，以东20米、以南34米、以西21米、以北6米。</w:t>
            </w:r>
          </w:p>
          <w:p>
            <w:pPr>
              <w:spacing w:beforeLines="0" w:line="0" w:lineRule="atLeast"/>
              <w:ind w:left="0" w:leftChars="0"/>
              <w:jc w:val="left"/>
              <w:rPr>
                <w:sz w:val="21"/>
                <w:szCs w:val="21"/>
              </w:rPr>
            </w:pPr>
            <w:r>
              <w:rPr>
                <w:rFonts w:hint="eastAsia"/>
                <w:sz w:val="21"/>
                <w:szCs w:val="21"/>
              </w:rPr>
              <w:t>建设控制地带：东至保护范围32米、南至保护范围29米、西至保护范围37米、北至保护范围42米。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28</w:t>
            </w:r>
          </w:p>
        </w:tc>
        <w:tc>
          <w:tcPr>
            <w:tcW w:w="846" w:type="dxa"/>
            <w:vAlign w:val="center"/>
          </w:tcPr>
          <w:p>
            <w:pPr>
              <w:spacing w:beforeLines="0" w:line="0" w:lineRule="atLeast"/>
              <w:ind w:left="0" w:leftChars="0"/>
              <w:jc w:val="left"/>
              <w:rPr>
                <w:sz w:val="21"/>
                <w:szCs w:val="21"/>
              </w:rPr>
            </w:pPr>
            <w:r>
              <w:rPr>
                <w:rFonts w:hint="eastAsia"/>
                <w:sz w:val="21"/>
                <w:szCs w:val="21"/>
              </w:rPr>
              <w:t>介休五岳庙</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介休东大街草市巷</w:t>
            </w:r>
          </w:p>
        </w:tc>
        <w:tc>
          <w:tcPr>
            <w:tcW w:w="5528" w:type="dxa"/>
            <w:vAlign w:val="center"/>
          </w:tcPr>
          <w:p>
            <w:pPr>
              <w:spacing w:beforeLines="0" w:line="0" w:lineRule="atLeast"/>
              <w:ind w:left="0" w:leftChars="0"/>
              <w:jc w:val="left"/>
              <w:rPr>
                <w:sz w:val="21"/>
                <w:szCs w:val="21"/>
              </w:rPr>
            </w:pPr>
            <w:r>
              <w:rPr>
                <w:rFonts w:hint="eastAsia"/>
                <w:sz w:val="21"/>
                <w:szCs w:val="21"/>
              </w:rPr>
              <w:t>保护范围：东、西、南、北各至庙墙墙根外50米。</w:t>
            </w:r>
          </w:p>
          <w:p>
            <w:pPr>
              <w:spacing w:beforeLines="0" w:line="0" w:lineRule="atLeast"/>
              <w:ind w:left="0" w:leftChars="0"/>
              <w:jc w:val="left"/>
              <w:rPr>
                <w:sz w:val="21"/>
                <w:szCs w:val="21"/>
              </w:rPr>
            </w:pPr>
            <w:r>
              <w:rPr>
                <w:rFonts w:hint="eastAsia"/>
                <w:sz w:val="21"/>
                <w:szCs w:val="21"/>
              </w:rPr>
              <w:t>建设控制地带：保护范围东、南、西、北外延伸100米。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29</w:t>
            </w:r>
          </w:p>
        </w:tc>
        <w:tc>
          <w:tcPr>
            <w:tcW w:w="846" w:type="dxa"/>
            <w:vAlign w:val="center"/>
          </w:tcPr>
          <w:p>
            <w:pPr>
              <w:spacing w:beforeLines="0" w:line="0" w:lineRule="atLeast"/>
              <w:ind w:left="0" w:leftChars="0"/>
              <w:jc w:val="left"/>
              <w:rPr>
                <w:sz w:val="21"/>
                <w:szCs w:val="21"/>
              </w:rPr>
            </w:pPr>
            <w:r>
              <w:rPr>
                <w:rFonts w:hint="eastAsia"/>
                <w:sz w:val="21"/>
                <w:szCs w:val="21"/>
              </w:rPr>
              <w:t>介休东岳庙</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元至清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介休市绵山镇小靳村</w:t>
            </w:r>
          </w:p>
        </w:tc>
        <w:tc>
          <w:tcPr>
            <w:tcW w:w="5528" w:type="dxa"/>
            <w:vAlign w:val="center"/>
          </w:tcPr>
          <w:p>
            <w:pPr>
              <w:spacing w:beforeLines="0" w:line="0" w:lineRule="atLeast"/>
              <w:ind w:left="0" w:leftChars="0"/>
              <w:jc w:val="left"/>
              <w:rPr>
                <w:sz w:val="21"/>
                <w:szCs w:val="21"/>
              </w:rPr>
            </w:pPr>
            <w:r>
              <w:rPr>
                <w:rFonts w:hint="eastAsia"/>
                <w:sz w:val="21"/>
                <w:szCs w:val="21"/>
              </w:rPr>
              <w:t>保护范围：东、南、西、北各至庙墙墙根外50米。</w:t>
            </w:r>
          </w:p>
          <w:p>
            <w:pPr>
              <w:spacing w:beforeLines="0" w:line="0" w:lineRule="atLeast"/>
              <w:ind w:left="0" w:leftChars="0"/>
              <w:jc w:val="left"/>
              <w:rPr>
                <w:sz w:val="21"/>
                <w:szCs w:val="21"/>
              </w:rPr>
            </w:pPr>
            <w:r>
              <w:rPr>
                <w:rFonts w:hint="eastAsia"/>
                <w:sz w:val="21"/>
                <w:szCs w:val="21"/>
              </w:rPr>
              <w:t>建设控制地带：保护范围外东、南、西、北各向外延伸100米。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30</w:t>
            </w:r>
          </w:p>
        </w:tc>
        <w:tc>
          <w:tcPr>
            <w:tcW w:w="846" w:type="dxa"/>
            <w:vAlign w:val="center"/>
          </w:tcPr>
          <w:p>
            <w:pPr>
              <w:spacing w:beforeLines="0" w:line="0" w:lineRule="atLeast"/>
              <w:ind w:left="0" w:leftChars="0"/>
              <w:jc w:val="left"/>
              <w:rPr>
                <w:sz w:val="21"/>
                <w:szCs w:val="21"/>
              </w:rPr>
            </w:pPr>
            <w:r>
              <w:rPr>
                <w:rFonts w:hint="eastAsia"/>
                <w:sz w:val="21"/>
                <w:szCs w:val="21"/>
              </w:rPr>
              <w:t>张壁古堡</w:t>
            </w:r>
          </w:p>
        </w:tc>
        <w:tc>
          <w:tcPr>
            <w:tcW w:w="847" w:type="dxa"/>
            <w:vAlign w:val="center"/>
          </w:tcPr>
          <w:p>
            <w:pPr>
              <w:spacing w:beforeLines="0" w:line="0" w:lineRule="atLeast"/>
              <w:ind w:left="0" w:leftChars="0"/>
              <w:jc w:val="left"/>
              <w:rPr>
                <w:sz w:val="21"/>
                <w:szCs w:val="21"/>
              </w:rPr>
            </w:pPr>
            <w:r>
              <w:rPr>
                <w:rFonts w:hint="eastAsia"/>
                <w:sz w:val="21"/>
                <w:szCs w:val="21"/>
              </w:rPr>
              <w:t>宋至清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介休龙凤镇张壁村</w:t>
            </w:r>
          </w:p>
        </w:tc>
        <w:tc>
          <w:tcPr>
            <w:tcW w:w="5528" w:type="dxa"/>
            <w:vAlign w:val="center"/>
          </w:tcPr>
          <w:p>
            <w:pPr>
              <w:spacing w:beforeLines="0" w:line="0" w:lineRule="atLeast"/>
              <w:ind w:left="0" w:leftChars="0"/>
              <w:jc w:val="left"/>
              <w:rPr>
                <w:sz w:val="21"/>
                <w:szCs w:val="21"/>
              </w:rPr>
            </w:pPr>
            <w:r>
              <w:rPr>
                <w:rFonts w:hint="eastAsia"/>
                <w:sz w:val="21"/>
                <w:szCs w:val="21"/>
              </w:rPr>
              <w:t>保护范围：东、南、西、北各至古堡堡墙外20米。</w:t>
            </w:r>
          </w:p>
          <w:p>
            <w:pPr>
              <w:spacing w:beforeLines="0" w:line="0" w:lineRule="atLeast"/>
              <w:ind w:left="0" w:leftChars="0"/>
              <w:jc w:val="left"/>
              <w:rPr>
                <w:sz w:val="21"/>
                <w:szCs w:val="21"/>
              </w:rPr>
            </w:pPr>
            <w:r>
              <w:rPr>
                <w:rFonts w:hint="eastAsia"/>
                <w:sz w:val="21"/>
                <w:szCs w:val="21"/>
              </w:rPr>
              <w:t>建设控制地带：保护范围东、南、西、北外延伸270米。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31</w:t>
            </w:r>
          </w:p>
        </w:tc>
        <w:tc>
          <w:tcPr>
            <w:tcW w:w="846" w:type="dxa"/>
            <w:vAlign w:val="center"/>
          </w:tcPr>
          <w:p>
            <w:pPr>
              <w:spacing w:beforeLines="0" w:line="0" w:lineRule="atLeast"/>
              <w:ind w:left="0" w:leftChars="0"/>
              <w:jc w:val="left"/>
              <w:rPr>
                <w:sz w:val="21"/>
                <w:szCs w:val="21"/>
              </w:rPr>
            </w:pPr>
            <w:r>
              <w:rPr>
                <w:rFonts w:hint="eastAsia"/>
                <w:sz w:val="21"/>
                <w:szCs w:val="21"/>
              </w:rPr>
              <w:t>旌介遗址</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新石器、商、汉</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灵石静升镇旌介村</w:t>
            </w:r>
          </w:p>
        </w:tc>
        <w:tc>
          <w:tcPr>
            <w:tcW w:w="5528" w:type="dxa"/>
            <w:vAlign w:val="center"/>
          </w:tcPr>
          <w:p>
            <w:pPr>
              <w:spacing w:beforeLines="0" w:line="0" w:lineRule="atLeast"/>
              <w:ind w:left="0" w:leftChars="0"/>
              <w:jc w:val="left"/>
              <w:rPr>
                <w:sz w:val="21"/>
                <w:szCs w:val="21"/>
              </w:rPr>
            </w:pPr>
            <w:r>
              <w:rPr>
                <w:rFonts w:hint="eastAsia"/>
                <w:sz w:val="21"/>
                <w:szCs w:val="21"/>
              </w:rPr>
              <w:t>保护范围：以东堡东侧海拔高程999.1为基点，以北350米，以南200米，以东250米，以西170米。</w:t>
            </w:r>
          </w:p>
          <w:p>
            <w:pPr>
              <w:spacing w:beforeLines="0" w:line="0" w:lineRule="atLeast"/>
              <w:ind w:left="0" w:leftChars="0"/>
              <w:jc w:val="left"/>
              <w:rPr>
                <w:sz w:val="21"/>
                <w:szCs w:val="21"/>
              </w:rPr>
            </w:pPr>
            <w:r>
              <w:rPr>
                <w:rFonts w:hint="eastAsia"/>
                <w:sz w:val="21"/>
                <w:szCs w:val="21"/>
              </w:rPr>
              <w:t>建设控制地带：东、南、西、北各至保护范围外50米。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32</w:t>
            </w:r>
          </w:p>
        </w:tc>
        <w:tc>
          <w:tcPr>
            <w:tcW w:w="846" w:type="dxa"/>
            <w:vAlign w:val="center"/>
          </w:tcPr>
          <w:p>
            <w:pPr>
              <w:spacing w:beforeLines="0" w:line="0" w:lineRule="atLeast"/>
              <w:ind w:left="0" w:leftChars="0"/>
              <w:jc w:val="left"/>
              <w:rPr>
                <w:sz w:val="21"/>
                <w:szCs w:val="21"/>
              </w:rPr>
            </w:pPr>
            <w:r>
              <w:rPr>
                <w:rFonts w:hint="eastAsia"/>
                <w:sz w:val="21"/>
                <w:szCs w:val="21"/>
              </w:rPr>
              <w:t>资寿寺</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明</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灵石县静升镇苏溪村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保护范围：东至围墙外4米，西至围墙外15米，北至正殿后墙外15米，南至照壁外5米。</w:t>
            </w:r>
          </w:p>
          <w:p>
            <w:pPr>
              <w:spacing w:beforeLines="0" w:line="0" w:lineRule="atLeast"/>
              <w:ind w:left="0" w:leftChars="0"/>
              <w:jc w:val="left"/>
              <w:rPr>
                <w:sz w:val="21"/>
                <w:szCs w:val="21"/>
              </w:rPr>
            </w:pPr>
            <w:r>
              <w:rPr>
                <w:rFonts w:hint="eastAsia"/>
                <w:sz w:val="21"/>
                <w:szCs w:val="21"/>
              </w:rPr>
              <w:t>建设控制地带：东、西、南、北各至保护范围外50米。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33</w:t>
            </w:r>
          </w:p>
        </w:tc>
        <w:tc>
          <w:tcPr>
            <w:tcW w:w="846" w:type="dxa"/>
            <w:vAlign w:val="center"/>
          </w:tcPr>
          <w:p>
            <w:pPr>
              <w:spacing w:beforeLines="0" w:line="0" w:lineRule="atLeast"/>
              <w:ind w:left="0" w:leftChars="0"/>
              <w:jc w:val="left"/>
              <w:rPr>
                <w:sz w:val="21"/>
                <w:szCs w:val="21"/>
              </w:rPr>
            </w:pPr>
            <w:r>
              <w:rPr>
                <w:rFonts w:hint="eastAsia"/>
                <w:sz w:val="21"/>
                <w:szCs w:val="21"/>
              </w:rPr>
              <w:t>灵石后土庙</w:t>
            </w:r>
          </w:p>
        </w:tc>
        <w:tc>
          <w:tcPr>
            <w:tcW w:w="847" w:type="dxa"/>
            <w:vAlign w:val="center"/>
          </w:tcPr>
          <w:p>
            <w:pPr>
              <w:spacing w:beforeLines="0" w:line="0" w:lineRule="atLeast"/>
              <w:ind w:left="0" w:leftChars="0"/>
              <w:jc w:val="left"/>
              <w:rPr>
                <w:sz w:val="21"/>
                <w:szCs w:val="21"/>
              </w:rPr>
            </w:pPr>
            <w:r>
              <w:rPr>
                <w:rFonts w:hint="eastAsia"/>
                <w:sz w:val="21"/>
                <w:szCs w:val="21"/>
              </w:rPr>
              <w:t>元</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灵石县静升镇静升村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保护范围：东至大殿东外10米、西至大殿西墙外10米、南至大殿台基外29米、北至大殿后墙外10米。</w:t>
            </w:r>
          </w:p>
          <w:p>
            <w:pPr>
              <w:spacing w:beforeLines="0" w:line="0" w:lineRule="atLeast"/>
              <w:ind w:left="0" w:leftChars="0"/>
              <w:jc w:val="left"/>
              <w:rPr>
                <w:sz w:val="21"/>
                <w:szCs w:val="21"/>
              </w:rPr>
            </w:pPr>
            <w:r>
              <w:rPr>
                <w:rFonts w:hint="eastAsia"/>
                <w:sz w:val="21"/>
                <w:szCs w:val="21"/>
              </w:rPr>
              <w:t>建设控制地带：保护范围外东、南、西、北外延伸40米。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34</w:t>
            </w:r>
          </w:p>
        </w:tc>
        <w:tc>
          <w:tcPr>
            <w:tcW w:w="846" w:type="dxa"/>
            <w:vAlign w:val="center"/>
          </w:tcPr>
          <w:p>
            <w:pPr>
              <w:spacing w:beforeLines="0" w:line="0" w:lineRule="atLeast"/>
              <w:ind w:left="0" w:leftChars="0"/>
              <w:jc w:val="left"/>
              <w:rPr>
                <w:sz w:val="21"/>
                <w:szCs w:val="21"/>
              </w:rPr>
            </w:pPr>
            <w:r>
              <w:rPr>
                <w:rFonts w:hint="eastAsia"/>
                <w:sz w:val="21"/>
                <w:szCs w:val="21"/>
              </w:rPr>
              <w:t>晋祠庙</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元至清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灵石马和乡马和村</w:t>
            </w:r>
          </w:p>
        </w:tc>
        <w:tc>
          <w:tcPr>
            <w:tcW w:w="5528" w:type="dxa"/>
            <w:vAlign w:val="center"/>
          </w:tcPr>
          <w:p>
            <w:pPr>
              <w:spacing w:beforeLines="0" w:line="0" w:lineRule="atLeast"/>
              <w:ind w:left="0" w:leftChars="0"/>
              <w:jc w:val="left"/>
              <w:rPr>
                <w:sz w:val="21"/>
                <w:szCs w:val="21"/>
              </w:rPr>
            </w:pPr>
            <w:r>
              <w:rPr>
                <w:rFonts w:hint="eastAsia"/>
                <w:sz w:val="21"/>
                <w:szCs w:val="21"/>
              </w:rPr>
              <w:t>保护范围：围墙外东、南、西、北各10米。</w:t>
            </w:r>
          </w:p>
          <w:p>
            <w:pPr>
              <w:spacing w:beforeLines="0" w:line="0" w:lineRule="atLeast"/>
              <w:ind w:left="0" w:leftChars="0"/>
              <w:jc w:val="left"/>
              <w:rPr>
                <w:sz w:val="21"/>
                <w:szCs w:val="21"/>
              </w:rPr>
            </w:pPr>
            <w:r>
              <w:rPr>
                <w:rFonts w:hint="eastAsia"/>
                <w:sz w:val="21"/>
                <w:szCs w:val="21"/>
              </w:rPr>
              <w:t>建设控制地带：保护范围东、南、西、北外延伸40米。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35</w:t>
            </w:r>
          </w:p>
        </w:tc>
        <w:tc>
          <w:tcPr>
            <w:tcW w:w="846" w:type="dxa"/>
            <w:vAlign w:val="center"/>
          </w:tcPr>
          <w:p>
            <w:pPr>
              <w:spacing w:beforeLines="0" w:line="0" w:lineRule="atLeast"/>
              <w:ind w:left="0" w:leftChars="0"/>
              <w:jc w:val="left"/>
              <w:rPr>
                <w:sz w:val="21"/>
                <w:szCs w:val="21"/>
              </w:rPr>
            </w:pPr>
            <w:r>
              <w:rPr>
                <w:rFonts w:hint="eastAsia"/>
                <w:sz w:val="21"/>
                <w:szCs w:val="21"/>
              </w:rPr>
              <w:t>王家大院</w:t>
            </w:r>
          </w:p>
        </w:tc>
        <w:tc>
          <w:tcPr>
            <w:tcW w:w="847" w:type="dxa"/>
            <w:vAlign w:val="center"/>
          </w:tcPr>
          <w:p>
            <w:pPr>
              <w:spacing w:beforeLines="0" w:line="0" w:lineRule="atLeast"/>
              <w:ind w:left="0" w:leftChars="0"/>
              <w:jc w:val="left"/>
              <w:rPr>
                <w:sz w:val="21"/>
                <w:szCs w:val="21"/>
              </w:rPr>
            </w:pPr>
            <w:r>
              <w:rPr>
                <w:rFonts w:hint="eastAsia"/>
                <w:sz w:val="21"/>
                <w:szCs w:val="21"/>
              </w:rPr>
              <w:t>明至清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灵石县静升镇</w:t>
            </w:r>
          </w:p>
        </w:tc>
        <w:tc>
          <w:tcPr>
            <w:tcW w:w="5528" w:type="dxa"/>
            <w:vAlign w:val="center"/>
          </w:tcPr>
          <w:p>
            <w:pPr>
              <w:spacing w:beforeLines="0" w:line="0" w:lineRule="atLeast"/>
              <w:ind w:left="0" w:leftChars="0"/>
              <w:jc w:val="left"/>
              <w:rPr>
                <w:sz w:val="21"/>
                <w:szCs w:val="21"/>
              </w:rPr>
            </w:pPr>
            <w:r>
              <w:rPr>
                <w:rFonts w:hint="eastAsia"/>
                <w:sz w:val="21"/>
                <w:szCs w:val="21"/>
              </w:rPr>
              <w:t>保护范围：东至阎家沟以西、南，最南至职中南围墙以南20米，然后沿职中东围墙外顺着小巷至静升内街，沿静升内街中线向东至村委前的闫家沟、西至肥家沟以东、北至北堡墙以北约16米的后路以南。</w:t>
            </w:r>
          </w:p>
          <w:p>
            <w:pPr>
              <w:spacing w:beforeLines="0" w:line="0" w:lineRule="atLeast"/>
              <w:ind w:left="0" w:leftChars="0"/>
              <w:jc w:val="left"/>
              <w:rPr>
                <w:sz w:val="21"/>
                <w:szCs w:val="21"/>
              </w:rPr>
            </w:pPr>
            <w:r>
              <w:rPr>
                <w:rFonts w:hint="eastAsia"/>
                <w:sz w:val="21"/>
                <w:szCs w:val="21"/>
              </w:rPr>
              <w:t>建设控制地带：东至孙家沟路中心以西、南至中心路十字街南沿以北及十字街以南中心路两侧各50米、西至13队中沟以东（不包括12队场）、北至北山以南。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36</w:t>
            </w:r>
          </w:p>
        </w:tc>
        <w:tc>
          <w:tcPr>
            <w:tcW w:w="846" w:type="dxa"/>
            <w:vAlign w:val="center"/>
          </w:tcPr>
          <w:p>
            <w:pPr>
              <w:spacing w:beforeLines="0" w:line="0" w:lineRule="atLeast"/>
              <w:ind w:left="0" w:leftChars="0"/>
              <w:jc w:val="left"/>
              <w:rPr>
                <w:sz w:val="21"/>
                <w:szCs w:val="21"/>
              </w:rPr>
            </w:pPr>
            <w:r>
              <w:rPr>
                <w:rFonts w:hint="eastAsia"/>
                <w:sz w:val="21"/>
                <w:szCs w:val="21"/>
              </w:rPr>
              <w:t>福祥寺</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金至清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榆社河峪乡岩良村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保护范围：东至围墙外7.6米、西至围墙外7.6米、南至南殿后墙外21.6米、北至正殿后墙外12米。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37</w:t>
            </w:r>
          </w:p>
        </w:tc>
        <w:tc>
          <w:tcPr>
            <w:tcW w:w="846" w:type="dxa"/>
            <w:vAlign w:val="center"/>
          </w:tcPr>
          <w:p>
            <w:pPr>
              <w:spacing w:beforeLines="0" w:line="0" w:lineRule="atLeast"/>
              <w:ind w:left="0" w:leftChars="0"/>
              <w:jc w:val="left"/>
              <w:rPr>
                <w:sz w:val="21"/>
                <w:szCs w:val="21"/>
              </w:rPr>
            </w:pPr>
            <w:r>
              <w:rPr>
                <w:rFonts w:hint="eastAsia"/>
                <w:sz w:val="21"/>
                <w:szCs w:val="21"/>
              </w:rPr>
              <w:t>崇圣寺</w:t>
            </w:r>
          </w:p>
        </w:tc>
        <w:tc>
          <w:tcPr>
            <w:tcW w:w="847" w:type="dxa"/>
            <w:vAlign w:val="center"/>
          </w:tcPr>
          <w:p>
            <w:pPr>
              <w:spacing w:beforeLines="0" w:line="0" w:lineRule="atLeast"/>
              <w:ind w:left="0" w:leftChars="0"/>
              <w:jc w:val="left"/>
              <w:rPr>
                <w:sz w:val="21"/>
                <w:szCs w:val="21"/>
              </w:rPr>
            </w:pPr>
            <w:r>
              <w:rPr>
                <w:rFonts w:hint="eastAsia"/>
                <w:sz w:val="21"/>
                <w:szCs w:val="21"/>
              </w:rPr>
              <w:t>元至清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榆社县禅隐山坳</w:t>
            </w:r>
          </w:p>
        </w:tc>
        <w:tc>
          <w:tcPr>
            <w:tcW w:w="5528" w:type="dxa"/>
            <w:vAlign w:val="center"/>
          </w:tcPr>
          <w:p>
            <w:pPr>
              <w:spacing w:beforeLines="0" w:line="0" w:lineRule="atLeast"/>
              <w:ind w:left="0" w:leftChars="0"/>
              <w:jc w:val="left"/>
              <w:rPr>
                <w:sz w:val="21"/>
                <w:szCs w:val="21"/>
              </w:rPr>
            </w:pPr>
            <w:r>
              <w:rPr>
                <w:rFonts w:hint="eastAsia"/>
                <w:sz w:val="21"/>
                <w:szCs w:val="21"/>
              </w:rPr>
              <w:t>保护范围：南至围墙外148米，东至围墙外160米，西、北、各至围墙外100米。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38</w:t>
            </w:r>
          </w:p>
        </w:tc>
        <w:tc>
          <w:tcPr>
            <w:tcW w:w="846" w:type="dxa"/>
            <w:vAlign w:val="center"/>
          </w:tcPr>
          <w:p>
            <w:pPr>
              <w:spacing w:beforeLines="0" w:line="0" w:lineRule="atLeast"/>
              <w:ind w:left="0" w:leftChars="0"/>
              <w:jc w:val="left"/>
              <w:rPr>
                <w:sz w:val="21"/>
                <w:szCs w:val="21"/>
              </w:rPr>
            </w:pPr>
            <w:r>
              <w:rPr>
                <w:rFonts w:hint="eastAsia"/>
                <w:sz w:val="21"/>
                <w:szCs w:val="21"/>
              </w:rPr>
              <w:t>一二九师司令部旧址</w:t>
            </w:r>
          </w:p>
        </w:tc>
        <w:tc>
          <w:tcPr>
            <w:tcW w:w="847" w:type="dxa"/>
            <w:vAlign w:val="center"/>
          </w:tcPr>
          <w:p>
            <w:pPr>
              <w:spacing w:beforeLines="0" w:line="0" w:lineRule="atLeast"/>
              <w:ind w:left="0" w:leftChars="0"/>
              <w:jc w:val="left"/>
              <w:rPr>
                <w:sz w:val="21"/>
                <w:szCs w:val="21"/>
              </w:rPr>
            </w:pPr>
            <w:r>
              <w:rPr>
                <w:rFonts w:hint="eastAsia"/>
                <w:sz w:val="21"/>
                <w:szCs w:val="21"/>
              </w:rPr>
              <w:t>1937年</w:t>
            </w:r>
          </w:p>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左权县城西西河头村</w:t>
            </w:r>
          </w:p>
        </w:tc>
        <w:tc>
          <w:tcPr>
            <w:tcW w:w="5528" w:type="dxa"/>
            <w:vAlign w:val="center"/>
          </w:tcPr>
          <w:p>
            <w:pPr>
              <w:spacing w:beforeLines="0" w:line="0" w:lineRule="atLeast"/>
              <w:ind w:left="0" w:leftChars="0"/>
              <w:jc w:val="left"/>
              <w:rPr>
                <w:sz w:val="21"/>
                <w:szCs w:val="21"/>
              </w:rPr>
            </w:pPr>
            <w:r>
              <w:rPr>
                <w:rFonts w:hint="eastAsia"/>
                <w:sz w:val="21"/>
                <w:szCs w:val="21"/>
              </w:rPr>
              <w:t>保护范围：东、南、西至后墙外16米、北至后墙外20米。</w:t>
            </w:r>
          </w:p>
          <w:p>
            <w:pPr>
              <w:spacing w:beforeLines="0" w:line="0" w:lineRule="atLeast"/>
              <w:ind w:left="0" w:leftChars="0"/>
              <w:jc w:val="left"/>
              <w:rPr>
                <w:sz w:val="21"/>
                <w:szCs w:val="21"/>
              </w:rPr>
            </w:pPr>
            <w:r>
              <w:rPr>
                <w:rFonts w:hint="eastAsia"/>
                <w:sz w:val="21"/>
                <w:szCs w:val="21"/>
              </w:rPr>
              <w:t>建设控制地带：东至保护范围外90米、南至保护范围外130米、西至保护范围外96米、北至保护范围65米。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39</w:t>
            </w:r>
          </w:p>
        </w:tc>
        <w:tc>
          <w:tcPr>
            <w:tcW w:w="846" w:type="dxa"/>
            <w:vAlign w:val="center"/>
          </w:tcPr>
          <w:p>
            <w:pPr>
              <w:spacing w:beforeLines="0" w:line="0" w:lineRule="atLeast"/>
              <w:ind w:left="0" w:leftChars="0"/>
              <w:jc w:val="left"/>
              <w:rPr>
                <w:sz w:val="21"/>
                <w:szCs w:val="21"/>
              </w:rPr>
            </w:pPr>
            <w:r>
              <w:rPr>
                <w:rFonts w:hint="eastAsia"/>
                <w:sz w:val="21"/>
                <w:szCs w:val="21"/>
              </w:rPr>
              <w:t>八路军前方总部旧址</w:t>
            </w:r>
          </w:p>
        </w:tc>
        <w:tc>
          <w:tcPr>
            <w:tcW w:w="847" w:type="dxa"/>
            <w:vAlign w:val="center"/>
          </w:tcPr>
          <w:p>
            <w:pPr>
              <w:spacing w:beforeLines="0" w:line="0" w:lineRule="atLeast"/>
              <w:ind w:left="0" w:leftChars="0"/>
              <w:jc w:val="left"/>
              <w:rPr>
                <w:sz w:val="21"/>
                <w:szCs w:val="21"/>
              </w:rPr>
            </w:pPr>
            <w:r>
              <w:rPr>
                <w:rFonts w:hint="eastAsia"/>
                <w:sz w:val="21"/>
                <w:szCs w:val="21"/>
              </w:rPr>
              <w:t>1941——1943年</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左权县麻田乡上麻田村</w:t>
            </w:r>
          </w:p>
        </w:tc>
        <w:tc>
          <w:tcPr>
            <w:tcW w:w="5528" w:type="dxa"/>
            <w:vAlign w:val="center"/>
          </w:tcPr>
          <w:p>
            <w:pPr>
              <w:spacing w:beforeLines="0" w:line="0" w:lineRule="atLeast"/>
              <w:ind w:left="0" w:leftChars="0"/>
              <w:jc w:val="left"/>
              <w:rPr>
                <w:sz w:val="21"/>
                <w:szCs w:val="21"/>
              </w:rPr>
            </w:pPr>
            <w:r>
              <w:rPr>
                <w:rFonts w:hint="eastAsia"/>
                <w:sz w:val="21"/>
                <w:szCs w:val="21"/>
              </w:rPr>
              <w:t>保护范围：（1）总部办公大院，东至围墙外10米，南至接待室后墙外16米，西至围墙外18米，北至北楼后墙外18米；（2）邓小平旧址，东至围墙外28米，南至南房后墙外22米，西至西楼后墙外15米，北至北房后墙外15米；（3）左权旧居，东至东房后墙外15米，南至北房前墙外30米，西至围墙外8米，北至北房后墙外10米。</w:t>
            </w:r>
          </w:p>
          <w:p>
            <w:pPr>
              <w:spacing w:beforeLines="0" w:line="0" w:lineRule="atLeast"/>
              <w:ind w:left="0" w:leftChars="0"/>
              <w:jc w:val="left"/>
              <w:rPr>
                <w:sz w:val="21"/>
                <w:szCs w:val="21"/>
              </w:rPr>
            </w:pPr>
            <w:r>
              <w:rPr>
                <w:rFonts w:hint="eastAsia"/>
                <w:sz w:val="21"/>
                <w:szCs w:val="21"/>
              </w:rPr>
              <w:t>建设控制地带：东至左权旧居保护范围外30米，南至邓小平旧居保护范围外60米，西至总部办公大院保护范围外94米，北至总部保护范围外49米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40</w:t>
            </w:r>
          </w:p>
        </w:tc>
        <w:tc>
          <w:tcPr>
            <w:tcW w:w="846" w:type="dxa"/>
            <w:vAlign w:val="center"/>
          </w:tcPr>
          <w:p>
            <w:pPr>
              <w:spacing w:beforeLines="0" w:line="0" w:lineRule="atLeast"/>
              <w:ind w:left="0" w:leftChars="0"/>
              <w:jc w:val="left"/>
              <w:rPr>
                <w:sz w:val="21"/>
                <w:szCs w:val="21"/>
              </w:rPr>
            </w:pPr>
            <w:r>
              <w:rPr>
                <w:rFonts w:hint="eastAsia"/>
                <w:sz w:val="21"/>
                <w:szCs w:val="21"/>
              </w:rPr>
              <w:t>文庙大成殿</w:t>
            </w:r>
          </w:p>
        </w:tc>
        <w:tc>
          <w:tcPr>
            <w:tcW w:w="847" w:type="dxa"/>
            <w:vAlign w:val="center"/>
          </w:tcPr>
          <w:p>
            <w:pPr>
              <w:spacing w:beforeLines="0" w:line="0" w:lineRule="atLeast"/>
              <w:ind w:left="0" w:leftChars="0"/>
              <w:jc w:val="left"/>
              <w:rPr>
                <w:sz w:val="21"/>
                <w:szCs w:val="21"/>
              </w:rPr>
            </w:pPr>
            <w:r>
              <w:rPr>
                <w:rFonts w:hint="eastAsia"/>
                <w:sz w:val="21"/>
                <w:szCs w:val="21"/>
              </w:rPr>
              <w:t>元</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左权县城内辽阳街</w:t>
            </w:r>
          </w:p>
        </w:tc>
        <w:tc>
          <w:tcPr>
            <w:tcW w:w="5528" w:type="dxa"/>
            <w:vAlign w:val="center"/>
          </w:tcPr>
          <w:p>
            <w:pPr>
              <w:spacing w:beforeLines="0" w:line="0" w:lineRule="atLeast"/>
              <w:ind w:left="0" w:leftChars="0"/>
              <w:jc w:val="left"/>
              <w:rPr>
                <w:sz w:val="21"/>
                <w:szCs w:val="21"/>
              </w:rPr>
            </w:pPr>
            <w:r>
              <w:rPr>
                <w:rFonts w:hint="eastAsia"/>
                <w:sz w:val="21"/>
                <w:szCs w:val="21"/>
              </w:rPr>
              <w:t>保护范围：东、南、西、北各至围墙外18米。</w:t>
            </w:r>
          </w:p>
          <w:p>
            <w:pPr>
              <w:spacing w:beforeLines="0" w:line="0" w:lineRule="atLeast"/>
              <w:ind w:left="0" w:leftChars="0"/>
              <w:jc w:val="left"/>
              <w:rPr>
                <w:sz w:val="21"/>
                <w:szCs w:val="21"/>
              </w:rPr>
            </w:pPr>
            <w:r>
              <w:rPr>
                <w:rFonts w:hint="eastAsia"/>
                <w:sz w:val="21"/>
                <w:szCs w:val="21"/>
              </w:rPr>
              <w:t>建设控制地带：保护范围东、南、西、北各向外延伸37米。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41</w:t>
            </w:r>
          </w:p>
        </w:tc>
        <w:tc>
          <w:tcPr>
            <w:tcW w:w="846" w:type="dxa"/>
            <w:vAlign w:val="center"/>
          </w:tcPr>
          <w:p>
            <w:pPr>
              <w:spacing w:beforeLines="0" w:line="0" w:lineRule="atLeast"/>
              <w:ind w:left="0" w:leftChars="0"/>
              <w:jc w:val="left"/>
              <w:rPr>
                <w:sz w:val="21"/>
                <w:szCs w:val="21"/>
              </w:rPr>
            </w:pPr>
            <w:r>
              <w:rPr>
                <w:rFonts w:hint="eastAsia"/>
                <w:sz w:val="21"/>
                <w:szCs w:val="21"/>
              </w:rPr>
              <w:t>懿济圣母庙</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元至清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和顺县合山村东南50米处的卧虎岗下</w:t>
            </w:r>
          </w:p>
        </w:tc>
        <w:tc>
          <w:tcPr>
            <w:tcW w:w="5528" w:type="dxa"/>
            <w:vAlign w:val="center"/>
          </w:tcPr>
          <w:p>
            <w:pPr>
              <w:spacing w:beforeLines="0" w:line="0" w:lineRule="atLeast"/>
              <w:ind w:left="0" w:leftChars="0"/>
              <w:jc w:val="left"/>
              <w:rPr>
                <w:sz w:val="21"/>
                <w:szCs w:val="21"/>
              </w:rPr>
            </w:pPr>
            <w:r>
              <w:rPr>
                <w:rFonts w:hint="eastAsia"/>
                <w:sz w:val="21"/>
                <w:szCs w:val="21"/>
              </w:rPr>
              <w:t>保护范围：东至围墙外10米、南至大王殿南墙外10米、西至讲堂后墙外10米、北至顺水坝外沿。</w:t>
            </w:r>
          </w:p>
          <w:p>
            <w:pPr>
              <w:spacing w:beforeLines="0" w:line="0" w:lineRule="atLeast"/>
              <w:ind w:left="0" w:leftChars="0"/>
              <w:jc w:val="left"/>
              <w:rPr>
                <w:sz w:val="21"/>
                <w:szCs w:val="21"/>
              </w:rPr>
            </w:pPr>
            <w:r>
              <w:rPr>
                <w:rFonts w:hint="eastAsia"/>
                <w:sz w:val="21"/>
                <w:szCs w:val="21"/>
              </w:rPr>
              <w:t>建设控制地带：东、西各至保护范围外50米、南至保护范围外到卧虎岗松峰顶、北至顺水坝外沿到河渠北岸边。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42</w:t>
            </w:r>
          </w:p>
        </w:tc>
        <w:tc>
          <w:tcPr>
            <w:tcW w:w="846" w:type="dxa"/>
            <w:vAlign w:val="center"/>
          </w:tcPr>
          <w:p>
            <w:pPr>
              <w:spacing w:beforeLines="0" w:line="0" w:lineRule="atLeast"/>
              <w:ind w:left="0" w:leftChars="0"/>
              <w:jc w:val="left"/>
              <w:rPr>
                <w:sz w:val="21"/>
                <w:szCs w:val="21"/>
              </w:rPr>
            </w:pPr>
            <w:r>
              <w:rPr>
                <w:rFonts w:hint="eastAsia"/>
                <w:sz w:val="21"/>
                <w:szCs w:val="21"/>
              </w:rPr>
              <w:t>崇教寺</w:t>
            </w:r>
          </w:p>
        </w:tc>
        <w:tc>
          <w:tcPr>
            <w:tcW w:w="847" w:type="dxa"/>
            <w:vAlign w:val="center"/>
          </w:tcPr>
          <w:p>
            <w:pPr>
              <w:spacing w:beforeLines="0" w:line="0" w:lineRule="atLeast"/>
              <w:ind w:left="0" w:leftChars="0"/>
              <w:jc w:val="left"/>
              <w:rPr>
                <w:sz w:val="21"/>
                <w:szCs w:val="21"/>
              </w:rPr>
            </w:pPr>
            <w:r>
              <w:rPr>
                <w:rFonts w:hint="eastAsia"/>
                <w:sz w:val="21"/>
                <w:szCs w:val="21"/>
              </w:rPr>
              <w:t>元</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昔阳县城北隅</w:t>
            </w:r>
          </w:p>
        </w:tc>
        <w:tc>
          <w:tcPr>
            <w:tcW w:w="5528" w:type="dxa"/>
            <w:vAlign w:val="center"/>
          </w:tcPr>
          <w:p>
            <w:pPr>
              <w:spacing w:beforeLines="0" w:line="0" w:lineRule="atLeast"/>
              <w:ind w:left="0" w:leftChars="0"/>
              <w:jc w:val="left"/>
              <w:rPr>
                <w:sz w:val="21"/>
                <w:szCs w:val="21"/>
              </w:rPr>
            </w:pPr>
            <w:r>
              <w:rPr>
                <w:rFonts w:hint="eastAsia"/>
                <w:sz w:val="21"/>
                <w:szCs w:val="21"/>
              </w:rPr>
              <w:t>保护范围：东、南、西、北各至后墙外10米</w:t>
            </w:r>
          </w:p>
          <w:p>
            <w:pPr>
              <w:spacing w:beforeLines="0" w:line="0" w:lineRule="atLeast"/>
              <w:ind w:left="0" w:leftChars="0"/>
              <w:jc w:val="left"/>
              <w:rPr>
                <w:sz w:val="21"/>
                <w:szCs w:val="21"/>
              </w:rPr>
            </w:pPr>
            <w:r>
              <w:rPr>
                <w:rFonts w:hint="eastAsia"/>
                <w:sz w:val="21"/>
                <w:szCs w:val="21"/>
              </w:rPr>
              <w:t>建设控制地带：北、东至保护范围外10米、西至保护范围外20米、南至保护范围外60米。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43</w:t>
            </w:r>
          </w:p>
        </w:tc>
        <w:tc>
          <w:tcPr>
            <w:tcW w:w="846" w:type="dxa"/>
            <w:vAlign w:val="center"/>
          </w:tcPr>
          <w:p>
            <w:pPr>
              <w:spacing w:beforeLines="0" w:line="0" w:lineRule="atLeast"/>
              <w:ind w:left="0" w:leftChars="0"/>
              <w:jc w:val="left"/>
              <w:rPr>
                <w:sz w:val="21"/>
                <w:szCs w:val="21"/>
              </w:rPr>
            </w:pPr>
            <w:r>
              <w:rPr>
                <w:rFonts w:hint="eastAsia"/>
                <w:sz w:val="21"/>
                <w:szCs w:val="21"/>
              </w:rPr>
              <w:t>福田寺</w:t>
            </w:r>
          </w:p>
        </w:tc>
        <w:tc>
          <w:tcPr>
            <w:tcW w:w="847" w:type="dxa"/>
            <w:vAlign w:val="center"/>
          </w:tcPr>
          <w:p>
            <w:pPr>
              <w:spacing w:beforeLines="0" w:line="0" w:lineRule="atLeast"/>
              <w:ind w:left="0" w:leftChars="0"/>
              <w:jc w:val="left"/>
              <w:rPr>
                <w:sz w:val="21"/>
                <w:szCs w:val="21"/>
              </w:rPr>
            </w:pPr>
            <w:r>
              <w:rPr>
                <w:rFonts w:hint="eastAsia"/>
                <w:sz w:val="21"/>
                <w:szCs w:val="21"/>
              </w:rPr>
              <w:t>元至明</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寿阳县平头镇黑水村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保护范围：东至东配殿后墙外5米、南至过殿台阶外10米、西至西配殿后墙外15米、北至福田寺正殿后墙外5米。</w:t>
            </w:r>
          </w:p>
          <w:p>
            <w:pPr>
              <w:spacing w:beforeLines="0" w:line="0" w:lineRule="atLeast"/>
              <w:ind w:left="0" w:leftChars="0"/>
              <w:jc w:val="left"/>
              <w:rPr>
                <w:sz w:val="21"/>
                <w:szCs w:val="21"/>
              </w:rPr>
            </w:pPr>
            <w:r>
              <w:rPr>
                <w:rFonts w:hint="eastAsia"/>
                <w:sz w:val="21"/>
                <w:szCs w:val="21"/>
              </w:rPr>
              <w:t>建设控制地带：东至东配殿外10米、南至40米外蓄水池边、西至30米加工厂外侧、北至福田寺正殿外40米。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44</w:t>
            </w:r>
          </w:p>
        </w:tc>
        <w:tc>
          <w:tcPr>
            <w:tcW w:w="846" w:type="dxa"/>
            <w:vAlign w:val="center"/>
          </w:tcPr>
          <w:p>
            <w:pPr>
              <w:spacing w:beforeLines="0" w:line="0" w:lineRule="atLeast"/>
              <w:ind w:left="0" w:leftChars="0"/>
              <w:jc w:val="left"/>
              <w:rPr>
                <w:sz w:val="21"/>
                <w:szCs w:val="21"/>
              </w:rPr>
            </w:pPr>
            <w:r>
              <w:rPr>
                <w:rFonts w:hint="eastAsia"/>
                <w:sz w:val="21"/>
                <w:szCs w:val="21"/>
              </w:rPr>
              <w:t>龙泉寺</w:t>
            </w:r>
          </w:p>
        </w:tc>
        <w:tc>
          <w:tcPr>
            <w:tcW w:w="847" w:type="dxa"/>
            <w:vAlign w:val="center"/>
          </w:tcPr>
          <w:p>
            <w:pPr>
              <w:spacing w:beforeLines="0" w:line="0" w:lineRule="atLeast"/>
              <w:ind w:left="0" w:leftChars="0"/>
              <w:jc w:val="left"/>
              <w:rPr>
                <w:sz w:val="21"/>
                <w:szCs w:val="21"/>
              </w:rPr>
            </w:pPr>
            <w:r>
              <w:rPr>
                <w:rFonts w:hint="eastAsia"/>
                <w:sz w:val="21"/>
                <w:szCs w:val="21"/>
              </w:rPr>
              <w:t>明至清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寿阳南燕竹镇孟家沟村</w:t>
            </w:r>
          </w:p>
        </w:tc>
        <w:tc>
          <w:tcPr>
            <w:tcW w:w="5528" w:type="dxa"/>
            <w:vAlign w:val="center"/>
          </w:tcPr>
          <w:p>
            <w:pPr>
              <w:spacing w:beforeLines="0" w:line="0" w:lineRule="atLeast"/>
              <w:ind w:left="0" w:leftChars="0"/>
              <w:jc w:val="left"/>
              <w:rPr>
                <w:sz w:val="21"/>
                <w:szCs w:val="21"/>
              </w:rPr>
            </w:pPr>
            <w:r>
              <w:rPr>
                <w:rFonts w:hint="eastAsia"/>
                <w:sz w:val="21"/>
                <w:szCs w:val="21"/>
              </w:rPr>
              <w:t>保护范围：龙泉寺四周外墙100米。</w:t>
            </w:r>
          </w:p>
          <w:p>
            <w:pPr>
              <w:spacing w:beforeLines="0" w:line="0" w:lineRule="atLeast"/>
              <w:ind w:left="0" w:leftChars="0"/>
              <w:jc w:val="left"/>
              <w:rPr>
                <w:sz w:val="21"/>
                <w:szCs w:val="21"/>
              </w:rPr>
            </w:pPr>
            <w:r>
              <w:rPr>
                <w:rFonts w:hint="eastAsia"/>
                <w:sz w:val="21"/>
                <w:szCs w:val="21"/>
              </w:rPr>
              <w:t>建设控制地带：龙泉寺四周外墙向外辐射200米。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sz w:val="21"/>
                <w:szCs w:val="21"/>
              </w:rPr>
            </w:pPr>
            <w:r>
              <w:rPr>
                <w:rFonts w:hint="eastAsia"/>
                <w:sz w:val="21"/>
                <w:szCs w:val="21"/>
              </w:rPr>
              <w:t>45</w:t>
            </w:r>
          </w:p>
        </w:tc>
        <w:tc>
          <w:tcPr>
            <w:tcW w:w="846" w:type="dxa"/>
            <w:vAlign w:val="center"/>
          </w:tcPr>
          <w:p>
            <w:pPr>
              <w:spacing w:beforeLines="0" w:line="0" w:lineRule="atLeast"/>
              <w:ind w:left="0" w:leftChars="0"/>
              <w:jc w:val="left"/>
              <w:rPr>
                <w:sz w:val="21"/>
                <w:szCs w:val="21"/>
              </w:rPr>
            </w:pPr>
            <w:r>
              <w:rPr>
                <w:rFonts w:hint="eastAsia"/>
                <w:sz w:val="21"/>
                <w:szCs w:val="21"/>
              </w:rPr>
              <w:t>普光寺</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r>
              <w:rPr>
                <w:rFonts w:hint="eastAsia"/>
                <w:sz w:val="21"/>
                <w:szCs w:val="21"/>
              </w:rPr>
              <w:t>宋至清</w:t>
            </w:r>
          </w:p>
        </w:tc>
        <w:tc>
          <w:tcPr>
            <w:tcW w:w="748" w:type="dxa"/>
            <w:vAlign w:val="center"/>
          </w:tcPr>
          <w:p>
            <w:pPr>
              <w:spacing w:beforeLines="0" w:line="0" w:lineRule="atLeast"/>
              <w:ind w:left="0" w:leftChars="0"/>
              <w:jc w:val="left"/>
              <w:rPr>
                <w:sz w:val="21"/>
                <w:szCs w:val="21"/>
              </w:rPr>
            </w:pPr>
            <w:r>
              <w:rPr>
                <w:rFonts w:hint="eastAsia"/>
                <w:sz w:val="21"/>
                <w:szCs w:val="21"/>
              </w:rPr>
              <w:t>国家级</w:t>
            </w:r>
          </w:p>
        </w:tc>
        <w:tc>
          <w:tcPr>
            <w:tcW w:w="1134" w:type="dxa"/>
            <w:vAlign w:val="center"/>
          </w:tcPr>
          <w:p>
            <w:pPr>
              <w:spacing w:beforeLines="0" w:line="0" w:lineRule="atLeast"/>
              <w:ind w:left="0" w:leftChars="0"/>
              <w:jc w:val="left"/>
              <w:rPr>
                <w:sz w:val="21"/>
                <w:szCs w:val="21"/>
              </w:rPr>
            </w:pPr>
            <w:r>
              <w:rPr>
                <w:rFonts w:hint="eastAsia"/>
                <w:sz w:val="21"/>
                <w:szCs w:val="21"/>
              </w:rPr>
              <w:t>寿阳县西洛镇白道村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保护范围：东至围墙壁外6米、西至围墙外13米、北至正殿后墙外9米、南至前面围墙9米。</w:t>
            </w:r>
          </w:p>
          <w:p>
            <w:pPr>
              <w:spacing w:beforeLines="0" w:line="0" w:lineRule="atLeast"/>
              <w:ind w:left="0" w:leftChars="0"/>
              <w:jc w:val="left"/>
              <w:rPr>
                <w:sz w:val="21"/>
                <w:szCs w:val="21"/>
              </w:rPr>
            </w:pPr>
            <w:r>
              <w:rPr>
                <w:rFonts w:hint="eastAsia"/>
                <w:sz w:val="21"/>
                <w:szCs w:val="21"/>
              </w:rPr>
              <w:t>建设控制地带：东至围墙外32米陡坡处、南至东西向街北沿、北至正殿后墙外32米、西至西北巷街东沿。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46</w:t>
            </w:r>
          </w:p>
        </w:tc>
        <w:tc>
          <w:tcPr>
            <w:tcW w:w="846" w:type="dxa"/>
            <w:vAlign w:val="center"/>
          </w:tcPr>
          <w:p>
            <w:pPr>
              <w:spacing w:beforeLines="0" w:line="0" w:lineRule="atLeast"/>
              <w:ind w:left="0" w:leftChars="0"/>
              <w:jc w:val="left"/>
              <w:rPr>
                <w:sz w:val="21"/>
                <w:szCs w:val="21"/>
              </w:rPr>
            </w:pPr>
            <w:r>
              <w:rPr>
                <w:rFonts w:hint="eastAsia"/>
                <w:sz w:val="21"/>
                <w:szCs w:val="21"/>
              </w:rPr>
              <w:t>猫儿岭墓群</w:t>
            </w:r>
          </w:p>
          <w:p>
            <w:pPr>
              <w:spacing w:beforeLines="0" w:line="0" w:lineRule="atLeast"/>
              <w:ind w:left="0" w:leftChars="0" w:firstLine="420" w:firstLineChars="200"/>
              <w:jc w:val="left"/>
              <w:rPr>
                <w:sz w:val="21"/>
                <w:szCs w:val="21"/>
              </w:rPr>
            </w:pP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榆次区</w:t>
            </w:r>
          </w:p>
        </w:tc>
        <w:tc>
          <w:tcPr>
            <w:tcW w:w="5528" w:type="dxa"/>
            <w:vAlign w:val="center"/>
          </w:tcPr>
          <w:p>
            <w:pPr>
              <w:spacing w:beforeLines="0" w:line="0" w:lineRule="atLeast"/>
              <w:ind w:left="0" w:leftChars="0"/>
              <w:jc w:val="left"/>
              <w:rPr>
                <w:sz w:val="21"/>
                <w:szCs w:val="21"/>
              </w:rPr>
            </w:pPr>
            <w:r>
              <w:rPr>
                <w:rFonts w:hint="eastAsia"/>
                <w:sz w:val="21"/>
                <w:szCs w:val="21"/>
              </w:rPr>
              <w:t>保护范围：以山西锦纶剧场西南角为中心点，向东1300米，向西370米，向南1400米，向北1250米。</w:t>
            </w:r>
          </w:p>
          <w:p>
            <w:pPr>
              <w:spacing w:beforeLines="0" w:line="0" w:lineRule="atLeast"/>
              <w:ind w:left="0" w:leftChars="0"/>
              <w:jc w:val="left"/>
              <w:rPr>
                <w:sz w:val="21"/>
                <w:szCs w:val="21"/>
              </w:rPr>
            </w:pPr>
            <w:r>
              <w:rPr>
                <w:rFonts w:hint="eastAsia"/>
                <w:sz w:val="21"/>
                <w:szCs w:val="21"/>
              </w:rPr>
              <w:t>建设控制地带（一般）：以山西锦纶剧场西南角为中心点，向东2000米，向南1750米，向西900米，向北1950米。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47</w:t>
            </w:r>
          </w:p>
        </w:tc>
        <w:tc>
          <w:tcPr>
            <w:tcW w:w="846" w:type="dxa"/>
            <w:vAlign w:val="center"/>
          </w:tcPr>
          <w:p>
            <w:pPr>
              <w:spacing w:beforeLines="0" w:line="0" w:lineRule="atLeast"/>
              <w:ind w:left="0" w:leftChars="0"/>
              <w:jc w:val="left"/>
              <w:rPr>
                <w:sz w:val="21"/>
                <w:szCs w:val="21"/>
              </w:rPr>
            </w:pPr>
            <w:r>
              <w:rPr>
                <w:rFonts w:hint="eastAsia"/>
                <w:sz w:val="21"/>
                <w:szCs w:val="21"/>
              </w:rPr>
              <w:t>白燕遗址</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太谷县</w:t>
            </w:r>
          </w:p>
        </w:tc>
        <w:tc>
          <w:tcPr>
            <w:tcW w:w="5528" w:type="dxa"/>
            <w:vAlign w:val="center"/>
          </w:tcPr>
          <w:p>
            <w:pPr>
              <w:spacing w:beforeLines="0" w:line="0" w:lineRule="atLeast"/>
              <w:ind w:left="0" w:leftChars="0"/>
              <w:jc w:val="left"/>
              <w:rPr>
                <w:sz w:val="21"/>
                <w:szCs w:val="21"/>
              </w:rPr>
            </w:pPr>
            <w:r>
              <w:rPr>
                <w:rFonts w:hint="eastAsia"/>
                <w:sz w:val="21"/>
                <w:szCs w:val="21"/>
              </w:rPr>
              <w:t>保护范围：以寨疙瘩任意高程系数八百四十八点二为基点，以北二百米，以东五百米，以西三百米。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48</w:t>
            </w:r>
          </w:p>
        </w:tc>
        <w:tc>
          <w:tcPr>
            <w:tcW w:w="846" w:type="dxa"/>
            <w:vAlign w:val="center"/>
          </w:tcPr>
          <w:p>
            <w:pPr>
              <w:spacing w:beforeLines="0" w:line="0" w:lineRule="atLeast"/>
              <w:ind w:left="0" w:leftChars="0"/>
              <w:jc w:val="left"/>
              <w:rPr>
                <w:sz w:val="21"/>
                <w:szCs w:val="21"/>
              </w:rPr>
            </w:pPr>
            <w:r>
              <w:rPr>
                <w:rFonts w:hint="eastAsia"/>
                <w:sz w:val="21"/>
                <w:szCs w:val="21"/>
              </w:rPr>
              <w:t>圆智寺</w:t>
            </w:r>
          </w:p>
          <w:p>
            <w:pPr>
              <w:spacing w:beforeLines="0" w:line="0" w:lineRule="atLeast"/>
              <w:ind w:left="0" w:leftChars="0" w:firstLine="420" w:firstLineChars="200"/>
              <w:jc w:val="left"/>
              <w:rPr>
                <w:sz w:val="21"/>
                <w:szCs w:val="21"/>
              </w:rPr>
            </w:pP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太谷县</w:t>
            </w:r>
          </w:p>
        </w:tc>
        <w:tc>
          <w:tcPr>
            <w:tcW w:w="5528" w:type="dxa"/>
            <w:vAlign w:val="center"/>
          </w:tcPr>
          <w:p>
            <w:pPr>
              <w:spacing w:beforeLines="0" w:line="0" w:lineRule="atLeast"/>
              <w:ind w:left="0" w:leftChars="0"/>
              <w:jc w:val="left"/>
              <w:rPr>
                <w:sz w:val="21"/>
                <w:szCs w:val="21"/>
              </w:rPr>
            </w:pPr>
            <w:r>
              <w:rPr>
                <w:rFonts w:hint="eastAsia"/>
                <w:sz w:val="21"/>
                <w:szCs w:val="21"/>
              </w:rPr>
              <w:t>保护范围：西至廊房后墙外十米，南至天王殿南墙外十米，东至廊房后墙外二十五米，北至后殿后墙外二十米。</w:t>
            </w:r>
          </w:p>
          <w:p>
            <w:pPr>
              <w:spacing w:beforeLines="0" w:line="0" w:lineRule="atLeast"/>
              <w:ind w:left="0" w:leftChars="0"/>
              <w:jc w:val="left"/>
              <w:rPr>
                <w:sz w:val="21"/>
                <w:szCs w:val="21"/>
              </w:rPr>
            </w:pPr>
            <w:r>
              <w:rPr>
                <w:rFonts w:hint="eastAsia"/>
                <w:sz w:val="21"/>
                <w:szCs w:val="21"/>
              </w:rPr>
              <w:t>建设控制地带：北至榆黄公路北沿，南至保护范围外二百三十米，西至西马路西沿，东至保护范围外八十米。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49</w:t>
            </w:r>
          </w:p>
        </w:tc>
        <w:tc>
          <w:tcPr>
            <w:tcW w:w="846" w:type="dxa"/>
            <w:vAlign w:val="center"/>
          </w:tcPr>
          <w:p>
            <w:pPr>
              <w:spacing w:beforeLines="0" w:line="0" w:lineRule="atLeast"/>
              <w:ind w:left="0" w:leftChars="0"/>
              <w:jc w:val="left"/>
              <w:rPr>
                <w:sz w:val="21"/>
                <w:szCs w:val="21"/>
              </w:rPr>
            </w:pPr>
            <w:r>
              <w:rPr>
                <w:rFonts w:hint="eastAsia"/>
                <w:sz w:val="21"/>
                <w:szCs w:val="21"/>
              </w:rPr>
              <w:t>孔祥熙故居</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太谷县</w:t>
            </w:r>
          </w:p>
        </w:tc>
        <w:tc>
          <w:tcPr>
            <w:tcW w:w="5528" w:type="dxa"/>
            <w:vAlign w:val="center"/>
          </w:tcPr>
          <w:p>
            <w:pPr>
              <w:spacing w:beforeLines="0" w:line="0" w:lineRule="atLeast"/>
              <w:ind w:left="0" w:leftChars="0"/>
              <w:jc w:val="left"/>
              <w:rPr>
                <w:sz w:val="21"/>
                <w:szCs w:val="21"/>
              </w:rPr>
            </w:pPr>
            <w:r>
              <w:rPr>
                <w:rFonts w:hint="eastAsia"/>
                <w:sz w:val="21"/>
                <w:szCs w:val="21"/>
              </w:rPr>
              <w:t>保护范围：东、西至围墙外10米，北至正门外10米，南至围墙外10米。</w:t>
            </w:r>
          </w:p>
          <w:p>
            <w:pPr>
              <w:spacing w:beforeLines="0" w:line="0" w:lineRule="atLeast"/>
              <w:ind w:left="0" w:leftChars="0"/>
              <w:jc w:val="left"/>
              <w:rPr>
                <w:sz w:val="21"/>
                <w:szCs w:val="21"/>
              </w:rPr>
            </w:pPr>
            <w:r>
              <w:rPr>
                <w:rFonts w:hint="eastAsia"/>
                <w:sz w:val="21"/>
                <w:szCs w:val="21"/>
              </w:rPr>
              <w:t>建设控制地带（一类）：东至保护范围外55米，南至南寺街北沿，西至西道街东沿，北至保护范围外110米。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firstLine="645"/>
              <w:jc w:val="left"/>
              <w:rPr>
                <w:rFonts w:ascii="黑体" w:hAnsi="Calibri" w:eastAsia="黑体"/>
                <w:sz w:val="21"/>
                <w:szCs w:val="21"/>
              </w:rPr>
            </w:pPr>
            <w:r>
              <w:rPr>
                <w:rFonts w:hint="eastAsia" w:ascii="黑体" w:hAnsi="Calibri" w:eastAsia="黑体"/>
                <w:sz w:val="21"/>
                <w:szCs w:val="21"/>
              </w:rPr>
              <w:t>山</w:t>
            </w:r>
          </w:p>
          <w:p>
            <w:pPr>
              <w:spacing w:beforeLines="0" w:line="0" w:lineRule="atLeast"/>
              <w:ind w:left="0" w:leftChars="0"/>
              <w:jc w:val="left"/>
              <w:rPr>
                <w:rFonts w:ascii="Calibri" w:hAnsi="Calibri"/>
                <w:sz w:val="21"/>
                <w:szCs w:val="21"/>
              </w:rPr>
            </w:pPr>
            <w:r>
              <w:rPr>
                <w:rFonts w:hint="eastAsia" w:ascii="Calibri" w:hAnsi="Calibri"/>
                <w:sz w:val="21"/>
                <w:szCs w:val="21"/>
              </w:rPr>
              <w:t>50</w:t>
            </w:r>
          </w:p>
          <w:p>
            <w:pPr>
              <w:spacing w:beforeLines="0" w:line="0" w:lineRule="atLeast"/>
              <w:ind w:left="0" w:leftChars="0"/>
              <w:jc w:val="left"/>
              <w:rPr>
                <w:rFonts w:ascii="Calibri" w:hAnsi="Calibri"/>
                <w:sz w:val="21"/>
                <w:szCs w:val="21"/>
              </w:rPr>
            </w:pPr>
          </w:p>
        </w:tc>
        <w:tc>
          <w:tcPr>
            <w:tcW w:w="846" w:type="dxa"/>
            <w:vAlign w:val="center"/>
          </w:tcPr>
          <w:p>
            <w:pPr>
              <w:spacing w:beforeLines="0" w:line="0" w:lineRule="atLeast"/>
              <w:ind w:left="0" w:leftChars="0"/>
              <w:jc w:val="left"/>
              <w:rPr>
                <w:sz w:val="21"/>
                <w:szCs w:val="21"/>
              </w:rPr>
            </w:pPr>
            <w:r>
              <w:rPr>
                <w:rFonts w:hint="eastAsia"/>
                <w:sz w:val="21"/>
                <w:szCs w:val="21"/>
              </w:rPr>
              <w:t>山西铭贤学校旧址</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太谷县</w:t>
            </w:r>
          </w:p>
        </w:tc>
        <w:tc>
          <w:tcPr>
            <w:tcW w:w="5528" w:type="dxa"/>
            <w:vAlign w:val="center"/>
          </w:tcPr>
          <w:p>
            <w:pPr>
              <w:spacing w:beforeLines="0" w:line="0" w:lineRule="atLeast"/>
              <w:ind w:left="0" w:leftChars="0"/>
              <w:jc w:val="left"/>
              <w:rPr>
                <w:sz w:val="21"/>
                <w:szCs w:val="21"/>
              </w:rPr>
            </w:pPr>
            <w:r>
              <w:rPr>
                <w:rFonts w:hint="eastAsia"/>
                <w:sz w:val="21"/>
                <w:szCs w:val="21"/>
              </w:rPr>
              <w:t>保护范围：东至科苑路西侧边沿，西至体育场舞台西南角和21号楼两点直线，南至行政楼南沿和21号楼南沿直线，北至南院北围墙。</w:t>
            </w:r>
          </w:p>
          <w:p>
            <w:pPr>
              <w:spacing w:beforeLines="0" w:line="0" w:lineRule="atLeast"/>
              <w:ind w:left="0" w:leftChars="0"/>
              <w:jc w:val="left"/>
              <w:rPr>
                <w:sz w:val="21"/>
                <w:szCs w:val="21"/>
              </w:rPr>
            </w:pPr>
            <w:r>
              <w:rPr>
                <w:rFonts w:hint="eastAsia"/>
                <w:sz w:val="21"/>
                <w:szCs w:val="21"/>
              </w:rPr>
              <w:t>建控地带（一类）：东、西、南、北至保护范围外30米。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51</w:t>
            </w:r>
          </w:p>
        </w:tc>
        <w:tc>
          <w:tcPr>
            <w:tcW w:w="846" w:type="dxa"/>
            <w:vAlign w:val="center"/>
          </w:tcPr>
          <w:p>
            <w:pPr>
              <w:spacing w:beforeLines="0" w:line="0" w:lineRule="atLeast"/>
              <w:ind w:left="0" w:leftChars="0"/>
              <w:jc w:val="left"/>
              <w:rPr>
                <w:sz w:val="21"/>
                <w:szCs w:val="21"/>
              </w:rPr>
            </w:pPr>
            <w:r>
              <w:rPr>
                <w:rFonts w:hint="eastAsia"/>
                <w:sz w:val="21"/>
                <w:szCs w:val="21"/>
              </w:rPr>
              <w:t>鼓楼</w:t>
            </w:r>
          </w:p>
          <w:p>
            <w:pPr>
              <w:spacing w:beforeLines="0" w:line="0" w:lineRule="atLeast"/>
              <w:ind w:left="0" w:leftChars="0" w:firstLine="420" w:firstLineChars="200"/>
              <w:jc w:val="left"/>
              <w:rPr>
                <w:sz w:val="21"/>
                <w:szCs w:val="21"/>
              </w:rPr>
            </w:pP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太谷县</w:t>
            </w:r>
          </w:p>
        </w:tc>
        <w:tc>
          <w:tcPr>
            <w:tcW w:w="5528" w:type="dxa"/>
            <w:vAlign w:val="center"/>
          </w:tcPr>
          <w:p>
            <w:pPr>
              <w:spacing w:beforeLines="0" w:line="0" w:lineRule="atLeast"/>
              <w:ind w:left="0" w:leftChars="0"/>
              <w:jc w:val="left"/>
              <w:rPr>
                <w:sz w:val="21"/>
                <w:szCs w:val="21"/>
              </w:rPr>
            </w:pPr>
            <w:r>
              <w:rPr>
                <w:rFonts w:hint="eastAsia"/>
                <w:sz w:val="21"/>
                <w:szCs w:val="21"/>
              </w:rPr>
              <w:t>保护范围：东至鼓楼台基东25米，南至鼓楼台基南25米，西至鼓楼台基西25米，北至鼓楼台基北15米。</w:t>
            </w:r>
          </w:p>
          <w:p>
            <w:pPr>
              <w:spacing w:beforeLines="0" w:line="0" w:lineRule="atLeast"/>
              <w:ind w:left="0" w:leftChars="0"/>
              <w:jc w:val="left"/>
              <w:rPr>
                <w:sz w:val="21"/>
                <w:szCs w:val="21"/>
              </w:rPr>
            </w:pPr>
            <w:r>
              <w:rPr>
                <w:rFonts w:hint="eastAsia"/>
                <w:sz w:val="21"/>
                <w:szCs w:val="21"/>
              </w:rPr>
              <w:t>建设控制地带（一类）：东至保护范围外23米，南至保护范围外50米，西至保护范围外35米，北至东后街、西斜街北沿。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50</w:t>
            </w:r>
          </w:p>
        </w:tc>
        <w:tc>
          <w:tcPr>
            <w:tcW w:w="846" w:type="dxa"/>
            <w:vAlign w:val="center"/>
          </w:tcPr>
          <w:p>
            <w:pPr>
              <w:spacing w:beforeLines="0" w:line="0" w:lineRule="atLeast"/>
              <w:ind w:left="0" w:leftChars="0"/>
              <w:jc w:val="left"/>
              <w:rPr>
                <w:sz w:val="21"/>
                <w:szCs w:val="21"/>
              </w:rPr>
            </w:pPr>
            <w:r>
              <w:rPr>
                <w:rFonts w:hint="eastAsia"/>
                <w:sz w:val="21"/>
                <w:szCs w:val="21"/>
              </w:rPr>
              <w:t>梁村遗址</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祁县</w:t>
            </w:r>
          </w:p>
        </w:tc>
        <w:tc>
          <w:tcPr>
            <w:tcW w:w="5528" w:type="dxa"/>
            <w:vAlign w:val="center"/>
          </w:tcPr>
          <w:p>
            <w:pPr>
              <w:spacing w:beforeLines="0" w:line="0" w:lineRule="atLeast"/>
              <w:ind w:left="0" w:leftChars="0"/>
              <w:jc w:val="left"/>
              <w:rPr>
                <w:sz w:val="21"/>
                <w:szCs w:val="21"/>
              </w:rPr>
            </w:pPr>
            <w:r>
              <w:rPr>
                <w:rFonts w:hint="eastAsia"/>
                <w:sz w:val="21"/>
                <w:szCs w:val="21"/>
              </w:rPr>
              <w:t>保护范围：以西讫塔任意高程系系数814.0为基点，以北200米，以南30——60米（以保护范围图为准），以西200米，以东30——60米（以保护范围图为准）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53</w:t>
            </w:r>
          </w:p>
        </w:tc>
        <w:tc>
          <w:tcPr>
            <w:tcW w:w="846" w:type="dxa"/>
            <w:vAlign w:val="center"/>
          </w:tcPr>
          <w:p>
            <w:pPr>
              <w:spacing w:beforeLines="0" w:line="0" w:lineRule="atLeast"/>
              <w:ind w:left="0" w:leftChars="0"/>
              <w:jc w:val="left"/>
              <w:rPr>
                <w:sz w:val="21"/>
                <w:szCs w:val="21"/>
              </w:rPr>
            </w:pPr>
            <w:r>
              <w:rPr>
                <w:rFonts w:hint="eastAsia"/>
                <w:sz w:val="21"/>
                <w:szCs w:val="21"/>
              </w:rPr>
              <w:t>祁奚父子墓</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祁县</w:t>
            </w:r>
          </w:p>
        </w:tc>
        <w:tc>
          <w:tcPr>
            <w:tcW w:w="5528" w:type="dxa"/>
            <w:vAlign w:val="center"/>
          </w:tcPr>
          <w:p>
            <w:pPr>
              <w:spacing w:beforeLines="0" w:line="0" w:lineRule="atLeast"/>
              <w:ind w:left="0" w:leftChars="0"/>
              <w:jc w:val="left"/>
              <w:rPr>
                <w:sz w:val="21"/>
                <w:szCs w:val="21"/>
              </w:rPr>
            </w:pPr>
            <w:r>
              <w:rPr>
                <w:rFonts w:hint="eastAsia"/>
                <w:sz w:val="21"/>
                <w:szCs w:val="21"/>
              </w:rPr>
              <w:t>保护范围：以大墓地任意点为直角坐标基点，以北300米，以南40米，以西300米，以东300至350米（以保护范围图为准）。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54</w:t>
            </w:r>
          </w:p>
        </w:tc>
        <w:tc>
          <w:tcPr>
            <w:tcW w:w="846" w:type="dxa"/>
            <w:vAlign w:val="center"/>
          </w:tcPr>
          <w:p>
            <w:pPr>
              <w:spacing w:beforeLines="0" w:line="0" w:lineRule="atLeast"/>
              <w:ind w:left="0" w:leftChars="0"/>
              <w:jc w:val="left"/>
              <w:rPr>
                <w:sz w:val="21"/>
                <w:szCs w:val="21"/>
              </w:rPr>
            </w:pPr>
            <w:r>
              <w:rPr>
                <w:rFonts w:hint="eastAsia"/>
                <w:sz w:val="21"/>
                <w:szCs w:val="21"/>
              </w:rPr>
              <w:t>镇河楼</w:t>
            </w:r>
          </w:p>
          <w:p>
            <w:pPr>
              <w:spacing w:beforeLines="0" w:line="0" w:lineRule="atLeast"/>
              <w:ind w:left="0" w:leftChars="0"/>
              <w:jc w:val="left"/>
              <w:rPr>
                <w:sz w:val="21"/>
                <w:szCs w:val="21"/>
              </w:rPr>
            </w:pP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祁县</w:t>
            </w:r>
          </w:p>
        </w:tc>
        <w:tc>
          <w:tcPr>
            <w:tcW w:w="5528" w:type="dxa"/>
            <w:vAlign w:val="center"/>
          </w:tcPr>
          <w:p>
            <w:pPr>
              <w:spacing w:beforeLines="0" w:line="0" w:lineRule="atLeast"/>
              <w:ind w:left="0" w:leftChars="0"/>
              <w:jc w:val="left"/>
              <w:rPr>
                <w:sz w:val="21"/>
                <w:szCs w:val="21"/>
              </w:rPr>
            </w:pPr>
            <w:r>
              <w:rPr>
                <w:rFonts w:hint="eastAsia"/>
                <w:sz w:val="21"/>
                <w:szCs w:val="21"/>
              </w:rPr>
              <w:t>保护范围：以镇河楼建筑四界为起点，东、西、南、北各向外18米。</w:t>
            </w:r>
          </w:p>
          <w:p>
            <w:pPr>
              <w:spacing w:beforeLines="0" w:line="0" w:lineRule="atLeast"/>
              <w:ind w:left="0" w:leftChars="0"/>
              <w:jc w:val="left"/>
              <w:rPr>
                <w:sz w:val="21"/>
                <w:szCs w:val="21"/>
              </w:rPr>
            </w:pPr>
            <w:r>
              <w:rPr>
                <w:rFonts w:hint="eastAsia"/>
                <w:sz w:val="21"/>
                <w:szCs w:val="21"/>
              </w:rPr>
              <w:t>建设控制地带（一类）：保护范围外东、西、南、北57米。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55</w:t>
            </w:r>
          </w:p>
        </w:tc>
        <w:tc>
          <w:tcPr>
            <w:tcW w:w="846" w:type="dxa"/>
            <w:vAlign w:val="center"/>
          </w:tcPr>
          <w:p>
            <w:pPr>
              <w:spacing w:beforeLines="0" w:line="0" w:lineRule="atLeast"/>
              <w:ind w:left="0" w:leftChars="0"/>
              <w:jc w:val="left"/>
              <w:rPr>
                <w:sz w:val="21"/>
                <w:szCs w:val="21"/>
              </w:rPr>
            </w:pPr>
            <w:r>
              <w:rPr>
                <w:rFonts w:hint="eastAsia"/>
                <w:sz w:val="21"/>
                <w:szCs w:val="21"/>
              </w:rPr>
              <w:t>聚全堂药铺旧址</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祁县</w:t>
            </w:r>
          </w:p>
        </w:tc>
        <w:tc>
          <w:tcPr>
            <w:tcW w:w="5528" w:type="dxa"/>
            <w:vAlign w:val="center"/>
          </w:tcPr>
          <w:p>
            <w:pPr>
              <w:spacing w:beforeLines="0" w:line="0" w:lineRule="atLeast"/>
              <w:ind w:left="0" w:leftChars="0"/>
              <w:jc w:val="left"/>
              <w:rPr>
                <w:sz w:val="21"/>
                <w:szCs w:val="21"/>
              </w:rPr>
            </w:pPr>
            <w:r>
              <w:rPr>
                <w:rFonts w:hint="eastAsia"/>
                <w:sz w:val="21"/>
                <w:szCs w:val="21"/>
              </w:rPr>
              <w:t>保护范围：东、西、南、北各至“聚全堂药铺旧址”围墙。</w:t>
            </w:r>
          </w:p>
          <w:p>
            <w:pPr>
              <w:spacing w:beforeLines="0" w:line="0" w:lineRule="atLeast"/>
              <w:ind w:left="0" w:leftChars="0"/>
              <w:jc w:val="left"/>
              <w:rPr>
                <w:sz w:val="21"/>
                <w:szCs w:val="21"/>
              </w:rPr>
            </w:pPr>
            <w:r>
              <w:rPr>
                <w:rFonts w:hint="eastAsia"/>
                <w:sz w:val="21"/>
                <w:szCs w:val="21"/>
              </w:rPr>
              <w:t>建设控制地带（一类）：保护范围线外东、西、南、北各50米。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56</w:t>
            </w:r>
          </w:p>
        </w:tc>
        <w:tc>
          <w:tcPr>
            <w:tcW w:w="846" w:type="dxa"/>
            <w:vAlign w:val="center"/>
          </w:tcPr>
          <w:p>
            <w:pPr>
              <w:spacing w:beforeLines="0" w:line="0" w:lineRule="atLeast"/>
              <w:ind w:left="0" w:leftChars="0"/>
              <w:jc w:val="left"/>
              <w:rPr>
                <w:sz w:val="21"/>
                <w:szCs w:val="21"/>
              </w:rPr>
            </w:pPr>
            <w:r>
              <w:rPr>
                <w:rFonts w:hint="eastAsia"/>
                <w:sz w:val="21"/>
                <w:szCs w:val="21"/>
              </w:rPr>
              <w:t>市楼</w:t>
            </w:r>
          </w:p>
          <w:p>
            <w:pPr>
              <w:spacing w:beforeLines="0" w:line="0" w:lineRule="atLeast"/>
              <w:ind w:left="0" w:leftChars="0" w:firstLine="420" w:firstLineChars="200"/>
              <w:jc w:val="left"/>
              <w:rPr>
                <w:sz w:val="21"/>
                <w:szCs w:val="21"/>
              </w:rPr>
            </w:pP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平遥县</w:t>
            </w:r>
          </w:p>
        </w:tc>
        <w:tc>
          <w:tcPr>
            <w:tcW w:w="5528" w:type="dxa"/>
            <w:vAlign w:val="center"/>
          </w:tcPr>
          <w:p>
            <w:pPr>
              <w:spacing w:beforeLines="0" w:line="0" w:lineRule="atLeast"/>
              <w:ind w:left="0" w:leftChars="0"/>
              <w:jc w:val="left"/>
              <w:rPr>
                <w:sz w:val="21"/>
                <w:szCs w:val="21"/>
              </w:rPr>
            </w:pPr>
            <w:r>
              <w:rPr>
                <w:rFonts w:hint="eastAsia"/>
                <w:sz w:val="21"/>
                <w:szCs w:val="21"/>
              </w:rPr>
              <w:t>保护范围：南至市楼金井平行线，东距檐柱6米平行线，北距檐柱7.2米平行线，西至原市楼金社平行线。</w:t>
            </w:r>
          </w:p>
          <w:p>
            <w:pPr>
              <w:spacing w:beforeLines="0" w:line="0" w:lineRule="atLeast"/>
              <w:ind w:left="0" w:leftChars="0"/>
              <w:jc w:val="left"/>
              <w:rPr>
                <w:sz w:val="21"/>
                <w:szCs w:val="21"/>
              </w:rPr>
            </w:pPr>
            <w:r>
              <w:rPr>
                <w:rFonts w:hint="eastAsia"/>
                <w:sz w:val="21"/>
                <w:szCs w:val="21"/>
              </w:rPr>
              <w:t>建设控制地带（一类）：东、南、西各距市楼底层砖砌体50米的平行线以内，北至东郭家巷，砖圈门巷。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57</w:t>
            </w:r>
          </w:p>
        </w:tc>
        <w:tc>
          <w:tcPr>
            <w:tcW w:w="846" w:type="dxa"/>
            <w:vAlign w:val="center"/>
          </w:tcPr>
          <w:p>
            <w:pPr>
              <w:spacing w:beforeLines="0" w:line="0" w:lineRule="atLeast"/>
              <w:ind w:left="0" w:leftChars="0"/>
              <w:jc w:val="left"/>
              <w:rPr>
                <w:sz w:val="21"/>
                <w:szCs w:val="21"/>
              </w:rPr>
            </w:pPr>
            <w:r>
              <w:rPr>
                <w:rFonts w:hint="eastAsia"/>
                <w:sz w:val="21"/>
                <w:szCs w:val="21"/>
              </w:rPr>
              <w:t>东大闫墓群</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平遥县</w:t>
            </w:r>
          </w:p>
        </w:tc>
        <w:tc>
          <w:tcPr>
            <w:tcW w:w="5528" w:type="dxa"/>
            <w:vAlign w:val="center"/>
          </w:tcPr>
          <w:p>
            <w:pPr>
              <w:spacing w:beforeLines="0" w:line="0" w:lineRule="atLeast"/>
              <w:ind w:left="0" w:leftChars="0"/>
              <w:jc w:val="left"/>
              <w:rPr>
                <w:sz w:val="21"/>
                <w:szCs w:val="21"/>
              </w:rPr>
            </w:pPr>
            <w:r>
              <w:rPr>
                <w:rFonts w:hint="eastAsia"/>
                <w:sz w:val="21"/>
                <w:szCs w:val="21"/>
              </w:rPr>
              <w:t>保护范围：东：5号墓以东400米，西：6号墓以西400米，南：7号墓以南400米，北：1号墓以北400米。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58</w:t>
            </w:r>
          </w:p>
        </w:tc>
        <w:tc>
          <w:tcPr>
            <w:tcW w:w="846" w:type="dxa"/>
            <w:vAlign w:val="center"/>
          </w:tcPr>
          <w:p>
            <w:pPr>
              <w:spacing w:beforeLines="0" w:line="0" w:lineRule="atLeast"/>
              <w:ind w:left="0" w:leftChars="0"/>
              <w:jc w:val="left"/>
              <w:rPr>
                <w:sz w:val="21"/>
                <w:szCs w:val="21"/>
              </w:rPr>
            </w:pPr>
            <w:r>
              <w:rPr>
                <w:rFonts w:hint="eastAsia"/>
                <w:sz w:val="21"/>
                <w:szCs w:val="21"/>
              </w:rPr>
              <w:t>南神庙</w:t>
            </w:r>
          </w:p>
          <w:p>
            <w:pPr>
              <w:spacing w:beforeLines="0" w:line="0" w:lineRule="atLeast"/>
              <w:ind w:left="0" w:leftChars="0" w:firstLine="420" w:firstLineChars="200"/>
              <w:jc w:val="left"/>
              <w:rPr>
                <w:sz w:val="21"/>
                <w:szCs w:val="21"/>
              </w:rPr>
            </w:pP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平遥县</w:t>
            </w:r>
          </w:p>
        </w:tc>
        <w:tc>
          <w:tcPr>
            <w:tcW w:w="5528" w:type="dxa"/>
            <w:vAlign w:val="center"/>
          </w:tcPr>
          <w:p>
            <w:pPr>
              <w:spacing w:beforeLines="0" w:line="0" w:lineRule="atLeast"/>
              <w:ind w:left="0" w:leftChars="0"/>
              <w:jc w:val="left"/>
              <w:rPr>
                <w:sz w:val="21"/>
                <w:szCs w:val="21"/>
              </w:rPr>
            </w:pPr>
            <w:r>
              <w:rPr>
                <w:rFonts w:hint="eastAsia"/>
                <w:sz w:val="21"/>
                <w:szCs w:val="21"/>
              </w:rPr>
              <w:t>保护范围：北至石佛殿外墙向北12米，东至观音殿后墙向东55米，南至山门外12米，西至娘娘殿后墙向西32米。</w:t>
            </w:r>
          </w:p>
          <w:p>
            <w:pPr>
              <w:spacing w:beforeLines="0" w:line="0" w:lineRule="atLeast"/>
              <w:ind w:left="0" w:leftChars="0"/>
              <w:jc w:val="left"/>
              <w:rPr>
                <w:sz w:val="21"/>
                <w:szCs w:val="21"/>
              </w:rPr>
            </w:pPr>
            <w:r>
              <w:rPr>
                <w:rFonts w:hint="eastAsia"/>
                <w:sz w:val="21"/>
                <w:szCs w:val="21"/>
              </w:rPr>
              <w:t>建设控制地带（一类）：北至石佛殿后墙外48米，东至观音殿后墙外70米，南至山门外100米，西至娘娘殿后墙外50米。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59</w:t>
            </w:r>
          </w:p>
        </w:tc>
        <w:tc>
          <w:tcPr>
            <w:tcW w:w="846" w:type="dxa"/>
            <w:vAlign w:val="center"/>
          </w:tcPr>
          <w:p>
            <w:pPr>
              <w:spacing w:beforeLines="0" w:line="0" w:lineRule="atLeast"/>
              <w:ind w:left="0" w:leftChars="0"/>
              <w:jc w:val="left"/>
              <w:rPr>
                <w:sz w:val="21"/>
                <w:szCs w:val="21"/>
              </w:rPr>
            </w:pPr>
            <w:r>
              <w:rPr>
                <w:rFonts w:hint="eastAsia"/>
                <w:sz w:val="21"/>
                <w:szCs w:val="21"/>
              </w:rPr>
              <w:t>隆福寺</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平遥县</w:t>
            </w:r>
          </w:p>
        </w:tc>
        <w:tc>
          <w:tcPr>
            <w:tcW w:w="5528" w:type="dxa"/>
            <w:vAlign w:val="center"/>
          </w:tcPr>
          <w:p>
            <w:pPr>
              <w:spacing w:beforeLines="0" w:line="0" w:lineRule="atLeast"/>
              <w:ind w:left="0" w:leftChars="0"/>
              <w:jc w:val="left"/>
              <w:rPr>
                <w:sz w:val="21"/>
                <w:szCs w:val="21"/>
              </w:rPr>
            </w:pPr>
            <w:r>
              <w:rPr>
                <w:rFonts w:hint="eastAsia"/>
                <w:sz w:val="21"/>
                <w:szCs w:val="21"/>
              </w:rPr>
              <w:t>保护范围：北距大雄宝殿后墙基外10米，东至罗汉殿后墙向东10米，西至地藏殿后墙向西73米，南距影壁外30米。</w:t>
            </w:r>
          </w:p>
          <w:p>
            <w:pPr>
              <w:spacing w:beforeLines="0" w:line="0" w:lineRule="atLeast"/>
              <w:ind w:left="0" w:leftChars="0"/>
              <w:jc w:val="left"/>
              <w:rPr>
                <w:sz w:val="21"/>
                <w:szCs w:val="21"/>
              </w:rPr>
            </w:pPr>
            <w:r>
              <w:rPr>
                <w:rFonts w:hint="eastAsia"/>
                <w:sz w:val="21"/>
                <w:szCs w:val="21"/>
              </w:rPr>
              <w:t>建设控制地带（一类）：北至大雄宝殿后墙向北80米，东至罗汉殿后墙向东50米，西至地藏殿后墙向西78米，南以影壁向南60米。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60</w:t>
            </w:r>
          </w:p>
        </w:tc>
        <w:tc>
          <w:tcPr>
            <w:tcW w:w="846" w:type="dxa"/>
            <w:vAlign w:val="center"/>
          </w:tcPr>
          <w:p>
            <w:pPr>
              <w:spacing w:beforeLines="0" w:line="0" w:lineRule="atLeast"/>
              <w:ind w:left="0" w:leftChars="0"/>
              <w:jc w:val="left"/>
              <w:rPr>
                <w:sz w:val="21"/>
                <w:szCs w:val="21"/>
              </w:rPr>
            </w:pPr>
            <w:r>
              <w:rPr>
                <w:rFonts w:hint="eastAsia"/>
                <w:sz w:val="21"/>
                <w:szCs w:val="21"/>
              </w:rPr>
              <w:t>白云寺</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平遥县</w:t>
            </w:r>
          </w:p>
        </w:tc>
        <w:tc>
          <w:tcPr>
            <w:tcW w:w="5528" w:type="dxa"/>
            <w:vAlign w:val="center"/>
          </w:tcPr>
          <w:p>
            <w:pPr>
              <w:spacing w:beforeLines="0" w:line="0" w:lineRule="atLeast"/>
              <w:ind w:left="0" w:leftChars="0"/>
              <w:jc w:val="left"/>
              <w:rPr>
                <w:sz w:val="21"/>
                <w:szCs w:val="21"/>
              </w:rPr>
            </w:pPr>
            <w:r>
              <w:rPr>
                <w:rFonts w:hint="eastAsia"/>
                <w:sz w:val="21"/>
                <w:szCs w:val="21"/>
              </w:rPr>
              <w:t>保护范围：北距七佛殿后墙外28米，东以窑洞后墙根向外35米，西以寺院围墙至山脚35米，南距山门墙根至戏台遗址48米。</w:t>
            </w:r>
          </w:p>
          <w:p>
            <w:pPr>
              <w:spacing w:beforeLines="0" w:line="0" w:lineRule="atLeast"/>
              <w:ind w:left="0" w:leftChars="0"/>
              <w:jc w:val="left"/>
              <w:rPr>
                <w:sz w:val="21"/>
                <w:szCs w:val="21"/>
              </w:rPr>
            </w:pPr>
            <w:r>
              <w:rPr>
                <w:rFonts w:hint="eastAsia"/>
                <w:sz w:val="21"/>
                <w:szCs w:val="21"/>
              </w:rPr>
              <w:t>建设控制地带（一类）：以寺院外墙东西各延伸1000米，南北各延伸800米。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61</w:t>
            </w:r>
          </w:p>
        </w:tc>
        <w:tc>
          <w:tcPr>
            <w:tcW w:w="846" w:type="dxa"/>
            <w:vAlign w:val="center"/>
          </w:tcPr>
          <w:p>
            <w:pPr>
              <w:spacing w:beforeLines="0" w:line="0" w:lineRule="atLeast"/>
              <w:ind w:left="0" w:leftChars="0"/>
              <w:jc w:val="left"/>
              <w:rPr>
                <w:sz w:val="21"/>
                <w:szCs w:val="21"/>
              </w:rPr>
            </w:pPr>
            <w:r>
              <w:rPr>
                <w:rFonts w:hint="eastAsia"/>
                <w:sz w:val="21"/>
                <w:szCs w:val="21"/>
              </w:rPr>
              <w:t>雷履泰旧居</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平遥县</w:t>
            </w:r>
          </w:p>
        </w:tc>
        <w:tc>
          <w:tcPr>
            <w:tcW w:w="5528" w:type="dxa"/>
            <w:vAlign w:val="center"/>
          </w:tcPr>
          <w:p>
            <w:pPr>
              <w:spacing w:beforeLines="0" w:line="0" w:lineRule="atLeast"/>
              <w:ind w:left="0" w:leftChars="0"/>
              <w:jc w:val="left"/>
              <w:rPr>
                <w:sz w:val="21"/>
                <w:szCs w:val="21"/>
              </w:rPr>
            </w:pPr>
            <w:r>
              <w:rPr>
                <w:rFonts w:hint="eastAsia"/>
                <w:sz w:val="21"/>
                <w:szCs w:val="21"/>
              </w:rPr>
              <w:t>保护范围：北至葫芦肚北巷南边沿，东至照壁南街路西边沿，西至葫芦肚西巷东边沿，南至书院街路南边沿。</w:t>
            </w:r>
          </w:p>
          <w:p>
            <w:pPr>
              <w:spacing w:beforeLines="0" w:line="0" w:lineRule="atLeast"/>
              <w:ind w:left="0" w:leftChars="0"/>
              <w:jc w:val="left"/>
              <w:rPr>
                <w:sz w:val="21"/>
                <w:szCs w:val="21"/>
              </w:rPr>
            </w:pPr>
            <w:r>
              <w:rPr>
                <w:rFonts w:hint="eastAsia"/>
                <w:sz w:val="21"/>
                <w:szCs w:val="21"/>
              </w:rPr>
              <w:t>建设控制地带（一类）：古城墙内属建设控制地带。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62</w:t>
            </w:r>
          </w:p>
        </w:tc>
        <w:tc>
          <w:tcPr>
            <w:tcW w:w="846" w:type="dxa"/>
            <w:vAlign w:val="center"/>
          </w:tcPr>
          <w:p>
            <w:pPr>
              <w:spacing w:beforeLines="0" w:line="0" w:lineRule="atLeast"/>
              <w:ind w:left="0" w:leftChars="0"/>
              <w:jc w:val="left"/>
              <w:rPr>
                <w:sz w:val="21"/>
                <w:szCs w:val="21"/>
              </w:rPr>
            </w:pPr>
            <w:r>
              <w:rPr>
                <w:rFonts w:hint="eastAsia"/>
                <w:sz w:val="21"/>
                <w:szCs w:val="21"/>
              </w:rPr>
              <w:t>惠济桥</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平遥县</w:t>
            </w:r>
          </w:p>
        </w:tc>
        <w:tc>
          <w:tcPr>
            <w:tcW w:w="5528" w:type="dxa"/>
            <w:vAlign w:val="center"/>
          </w:tcPr>
          <w:p>
            <w:pPr>
              <w:spacing w:beforeLines="0" w:line="0" w:lineRule="atLeast"/>
              <w:ind w:left="0" w:leftChars="0"/>
              <w:jc w:val="left"/>
              <w:rPr>
                <w:sz w:val="21"/>
                <w:szCs w:val="21"/>
              </w:rPr>
            </w:pPr>
            <w:r>
              <w:rPr>
                <w:rFonts w:hint="eastAsia"/>
                <w:sz w:val="21"/>
                <w:szCs w:val="21"/>
              </w:rPr>
              <w:t>保护范围：西距桥130米，东北距桥80米，东南沿河距桥60米，西南距桥100米。</w:t>
            </w:r>
          </w:p>
          <w:p>
            <w:pPr>
              <w:spacing w:beforeLines="0" w:line="0" w:lineRule="atLeast"/>
              <w:ind w:left="0" w:leftChars="0"/>
              <w:jc w:val="left"/>
              <w:rPr>
                <w:sz w:val="21"/>
                <w:szCs w:val="21"/>
              </w:rPr>
            </w:pPr>
            <w:r>
              <w:rPr>
                <w:rFonts w:hint="eastAsia"/>
                <w:sz w:val="21"/>
                <w:szCs w:val="21"/>
              </w:rPr>
              <w:t>建设控制地带（二类）：东南至桥沿河500米，东北距桥240米，西北距桥沿河500米，西南至东关街口240米。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63</w:t>
            </w:r>
          </w:p>
        </w:tc>
        <w:tc>
          <w:tcPr>
            <w:tcW w:w="846" w:type="dxa"/>
            <w:vAlign w:val="center"/>
          </w:tcPr>
          <w:p>
            <w:pPr>
              <w:spacing w:beforeLines="0" w:line="0" w:lineRule="atLeast"/>
              <w:ind w:left="0" w:leftChars="0"/>
              <w:jc w:val="left"/>
              <w:rPr>
                <w:sz w:val="21"/>
                <w:szCs w:val="21"/>
              </w:rPr>
            </w:pPr>
            <w:r>
              <w:rPr>
                <w:rFonts w:hint="eastAsia"/>
                <w:sz w:val="21"/>
                <w:szCs w:val="21"/>
              </w:rPr>
              <w:t>郭有道墓</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介休市</w:t>
            </w:r>
          </w:p>
        </w:tc>
        <w:tc>
          <w:tcPr>
            <w:tcW w:w="5528" w:type="dxa"/>
            <w:vAlign w:val="center"/>
          </w:tcPr>
          <w:p>
            <w:pPr>
              <w:spacing w:beforeLines="0" w:line="0" w:lineRule="atLeast"/>
              <w:ind w:left="0" w:leftChars="0"/>
              <w:jc w:val="left"/>
              <w:rPr>
                <w:sz w:val="21"/>
                <w:szCs w:val="21"/>
              </w:rPr>
            </w:pPr>
            <w:r>
              <w:rPr>
                <w:rFonts w:hint="eastAsia"/>
                <w:sz w:val="21"/>
                <w:szCs w:val="21"/>
              </w:rPr>
              <w:t>保护范围：以墓中心为基点，以东20米，以南32米，以西40米，以北40米。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64</w:t>
            </w:r>
          </w:p>
        </w:tc>
        <w:tc>
          <w:tcPr>
            <w:tcW w:w="846" w:type="dxa"/>
            <w:vAlign w:val="center"/>
          </w:tcPr>
          <w:p>
            <w:pPr>
              <w:spacing w:beforeLines="0" w:line="0" w:lineRule="atLeast"/>
              <w:ind w:left="0" w:leftChars="0"/>
              <w:jc w:val="left"/>
              <w:rPr>
                <w:sz w:val="21"/>
                <w:szCs w:val="21"/>
              </w:rPr>
            </w:pPr>
            <w:r>
              <w:rPr>
                <w:rFonts w:hint="eastAsia"/>
                <w:sz w:val="21"/>
                <w:szCs w:val="21"/>
              </w:rPr>
              <w:t>云峰寺</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介休市</w:t>
            </w:r>
          </w:p>
        </w:tc>
        <w:tc>
          <w:tcPr>
            <w:tcW w:w="5528" w:type="dxa"/>
            <w:vAlign w:val="center"/>
          </w:tcPr>
          <w:p>
            <w:pPr>
              <w:spacing w:beforeLines="0" w:line="0" w:lineRule="atLeast"/>
              <w:ind w:left="0" w:leftChars="0"/>
              <w:jc w:val="left"/>
              <w:rPr>
                <w:sz w:val="21"/>
                <w:szCs w:val="21"/>
              </w:rPr>
            </w:pPr>
            <w:r>
              <w:rPr>
                <w:rFonts w:hint="eastAsia"/>
                <w:sz w:val="21"/>
                <w:szCs w:val="21"/>
              </w:rPr>
              <w:t>保护范围：东至五龙庙庙后墙根处，南至岩沟下棋盘洞下30米，西至塔林以西约20米，北至抱腹岩岩顶30米。</w:t>
            </w:r>
          </w:p>
          <w:p>
            <w:pPr>
              <w:spacing w:beforeLines="0" w:line="0" w:lineRule="atLeast"/>
              <w:ind w:left="0" w:leftChars="0"/>
              <w:jc w:val="left"/>
              <w:rPr>
                <w:sz w:val="21"/>
                <w:szCs w:val="21"/>
              </w:rPr>
            </w:pPr>
            <w:r>
              <w:rPr>
                <w:rFonts w:hint="eastAsia"/>
                <w:sz w:val="21"/>
                <w:szCs w:val="21"/>
              </w:rPr>
              <w:t>建设控制地带（一类）：东至舍身崖，南至铁佛寺，西至玉皇阁西庙墙根处，北至银空洞至竹林寺一线。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65</w:t>
            </w:r>
          </w:p>
        </w:tc>
        <w:tc>
          <w:tcPr>
            <w:tcW w:w="846" w:type="dxa"/>
            <w:vAlign w:val="center"/>
          </w:tcPr>
          <w:p>
            <w:pPr>
              <w:spacing w:beforeLines="0" w:line="0" w:lineRule="atLeast"/>
              <w:ind w:left="0" w:leftChars="0"/>
              <w:jc w:val="left"/>
              <w:rPr>
                <w:sz w:val="21"/>
                <w:szCs w:val="21"/>
              </w:rPr>
            </w:pPr>
            <w:r>
              <w:rPr>
                <w:rFonts w:hint="eastAsia"/>
                <w:sz w:val="21"/>
                <w:szCs w:val="21"/>
              </w:rPr>
              <w:t>源神庙</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介休市</w:t>
            </w:r>
          </w:p>
        </w:tc>
        <w:tc>
          <w:tcPr>
            <w:tcW w:w="5528" w:type="dxa"/>
            <w:vAlign w:val="center"/>
          </w:tcPr>
          <w:p>
            <w:pPr>
              <w:spacing w:beforeLines="0" w:line="0" w:lineRule="atLeast"/>
              <w:ind w:left="0" w:leftChars="0"/>
              <w:jc w:val="left"/>
              <w:rPr>
                <w:sz w:val="21"/>
                <w:szCs w:val="21"/>
              </w:rPr>
            </w:pPr>
            <w:r>
              <w:rPr>
                <w:rFonts w:hint="eastAsia"/>
                <w:sz w:val="21"/>
                <w:szCs w:val="21"/>
              </w:rPr>
              <w:t>保护范围：东、南、西、北各至庙墙墙根外50米。</w:t>
            </w:r>
          </w:p>
          <w:p>
            <w:pPr>
              <w:spacing w:beforeLines="0" w:line="0" w:lineRule="atLeast"/>
              <w:ind w:left="0" w:leftChars="0"/>
              <w:jc w:val="left"/>
              <w:rPr>
                <w:sz w:val="21"/>
                <w:szCs w:val="21"/>
              </w:rPr>
            </w:pPr>
            <w:r>
              <w:rPr>
                <w:rFonts w:hint="eastAsia"/>
                <w:sz w:val="21"/>
                <w:szCs w:val="21"/>
              </w:rPr>
              <w:t>建设控制地带（一类）：保护范围以外四周100米。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66</w:t>
            </w:r>
          </w:p>
          <w:p>
            <w:pPr>
              <w:spacing w:beforeLines="0" w:line="0" w:lineRule="atLeast"/>
              <w:ind w:left="0" w:leftChars="0"/>
              <w:jc w:val="left"/>
              <w:rPr>
                <w:rFonts w:ascii="Calibri" w:hAnsi="Calibri"/>
                <w:sz w:val="21"/>
                <w:szCs w:val="21"/>
              </w:rPr>
            </w:pPr>
          </w:p>
        </w:tc>
        <w:tc>
          <w:tcPr>
            <w:tcW w:w="846" w:type="dxa"/>
            <w:vAlign w:val="center"/>
          </w:tcPr>
          <w:p>
            <w:pPr>
              <w:spacing w:beforeLines="0" w:line="0" w:lineRule="atLeast"/>
              <w:ind w:left="0" w:leftChars="0"/>
              <w:jc w:val="left"/>
              <w:rPr>
                <w:sz w:val="21"/>
                <w:szCs w:val="21"/>
              </w:rPr>
            </w:pPr>
            <w:r>
              <w:rPr>
                <w:rFonts w:hint="eastAsia"/>
                <w:sz w:val="21"/>
                <w:szCs w:val="21"/>
              </w:rPr>
              <w:t>文庙</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灵石县</w:t>
            </w:r>
          </w:p>
        </w:tc>
        <w:tc>
          <w:tcPr>
            <w:tcW w:w="5528" w:type="dxa"/>
            <w:vAlign w:val="center"/>
          </w:tcPr>
          <w:p>
            <w:pPr>
              <w:spacing w:beforeLines="0" w:line="0" w:lineRule="atLeast"/>
              <w:ind w:left="0" w:leftChars="0"/>
              <w:jc w:val="left"/>
              <w:rPr>
                <w:sz w:val="21"/>
                <w:szCs w:val="21"/>
              </w:rPr>
            </w:pPr>
            <w:r>
              <w:rPr>
                <w:rFonts w:hint="eastAsia"/>
                <w:sz w:val="21"/>
                <w:szCs w:val="21"/>
              </w:rPr>
              <w:t>保护范围：东至东配殿后墙以东20米，南至石雕鲤鱼跃龙门照壁以南8米，西至西配殿后墙以西10米，北至正殿后墙以北10米。</w:t>
            </w:r>
          </w:p>
          <w:p>
            <w:pPr>
              <w:spacing w:beforeLines="0" w:line="0" w:lineRule="atLeast"/>
              <w:ind w:left="0" w:leftChars="0"/>
              <w:jc w:val="left"/>
              <w:rPr>
                <w:sz w:val="21"/>
                <w:szCs w:val="21"/>
              </w:rPr>
            </w:pPr>
            <w:r>
              <w:rPr>
                <w:rFonts w:hint="eastAsia"/>
                <w:sz w:val="21"/>
                <w:szCs w:val="21"/>
              </w:rPr>
              <w:t>建设控制地带（一类）：东至孙家沟路中心以西，南至中心路十字街南沿以北及十字街以南中心路两侧各50米，西至13队中沟以东（不包括12队场），北至北山以南。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67</w:t>
            </w:r>
          </w:p>
        </w:tc>
        <w:tc>
          <w:tcPr>
            <w:tcW w:w="846" w:type="dxa"/>
            <w:vAlign w:val="center"/>
          </w:tcPr>
          <w:p>
            <w:pPr>
              <w:spacing w:beforeLines="0" w:line="0" w:lineRule="atLeast"/>
              <w:ind w:left="0" w:leftChars="0"/>
              <w:jc w:val="left"/>
              <w:rPr>
                <w:sz w:val="21"/>
                <w:szCs w:val="21"/>
              </w:rPr>
            </w:pPr>
            <w:r>
              <w:rPr>
                <w:rFonts w:hint="eastAsia"/>
                <w:sz w:val="21"/>
                <w:szCs w:val="21"/>
              </w:rPr>
              <w:t>庙岭山石窟</w:t>
            </w:r>
          </w:p>
          <w:p>
            <w:pPr>
              <w:spacing w:beforeLines="0" w:line="0" w:lineRule="atLeast"/>
              <w:ind w:left="0" w:leftChars="0"/>
              <w:jc w:val="left"/>
              <w:rPr>
                <w:sz w:val="21"/>
                <w:szCs w:val="21"/>
              </w:rPr>
            </w:pPr>
            <w:r>
              <w:rPr>
                <w:rFonts w:hint="eastAsia"/>
                <w:sz w:val="21"/>
                <w:szCs w:val="21"/>
              </w:rPr>
              <w:t>邓峪石塔造像</w:t>
            </w:r>
          </w:p>
        </w:tc>
        <w:tc>
          <w:tcPr>
            <w:tcW w:w="847" w:type="dxa"/>
            <w:vAlign w:val="center"/>
          </w:tcPr>
          <w:p>
            <w:pPr>
              <w:spacing w:beforeLines="0" w:line="0" w:lineRule="atLeast"/>
              <w:ind w:left="0" w:leftChars="0"/>
              <w:jc w:val="left"/>
              <w:rPr>
                <w:sz w:val="21"/>
                <w:szCs w:val="21"/>
              </w:rPr>
            </w:pPr>
            <w:r>
              <w:rPr>
                <w:rFonts w:hint="eastAsia"/>
                <w:sz w:val="21"/>
                <w:szCs w:val="21"/>
              </w:rPr>
              <w:t>唐</w:t>
            </w: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榆社县</w:t>
            </w:r>
          </w:p>
        </w:tc>
        <w:tc>
          <w:tcPr>
            <w:tcW w:w="5528" w:type="dxa"/>
            <w:vAlign w:val="center"/>
          </w:tcPr>
          <w:p>
            <w:pPr>
              <w:spacing w:beforeLines="0" w:line="0" w:lineRule="atLeast"/>
              <w:ind w:left="0" w:leftChars="0"/>
              <w:jc w:val="left"/>
              <w:rPr>
                <w:sz w:val="21"/>
                <w:szCs w:val="21"/>
              </w:rPr>
            </w:pPr>
            <w:r>
              <w:rPr>
                <w:rFonts w:hint="eastAsia"/>
                <w:sz w:val="21"/>
                <w:szCs w:val="21"/>
              </w:rPr>
              <w:t>保护范围：北至小庙山墙6米，西至小庙后墙6米，东至小庙前墙74米，南至小庙山墙28米。</w:t>
            </w:r>
          </w:p>
          <w:p>
            <w:pPr>
              <w:spacing w:beforeLines="0" w:line="0" w:lineRule="atLeast"/>
              <w:ind w:left="0" w:leftChars="0"/>
              <w:jc w:val="left"/>
              <w:rPr>
                <w:sz w:val="21"/>
                <w:szCs w:val="21"/>
              </w:rPr>
            </w:pPr>
            <w:r>
              <w:rPr>
                <w:rFonts w:hint="eastAsia"/>
                <w:sz w:val="21"/>
                <w:szCs w:val="21"/>
              </w:rPr>
              <w:t>建设控制地带：东至保护线外14.6米，西至保护线外16.6米，南至保护线外19.2米，北至保护线外16米。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68</w:t>
            </w:r>
          </w:p>
        </w:tc>
        <w:tc>
          <w:tcPr>
            <w:tcW w:w="846" w:type="dxa"/>
            <w:vAlign w:val="center"/>
          </w:tcPr>
          <w:p>
            <w:pPr>
              <w:spacing w:beforeLines="0" w:line="0" w:lineRule="atLeast"/>
              <w:ind w:left="0" w:leftChars="0"/>
              <w:jc w:val="left"/>
              <w:rPr>
                <w:sz w:val="21"/>
                <w:szCs w:val="21"/>
              </w:rPr>
            </w:pPr>
            <w:r>
              <w:rPr>
                <w:rFonts w:hint="eastAsia"/>
                <w:sz w:val="21"/>
                <w:szCs w:val="21"/>
              </w:rPr>
              <w:t>南村造像</w:t>
            </w:r>
          </w:p>
        </w:tc>
        <w:tc>
          <w:tcPr>
            <w:tcW w:w="847" w:type="dxa"/>
            <w:vAlign w:val="center"/>
          </w:tcPr>
          <w:p>
            <w:pPr>
              <w:spacing w:beforeLines="0" w:line="0" w:lineRule="atLeast"/>
              <w:ind w:left="0" w:leftChars="0"/>
              <w:jc w:val="left"/>
              <w:rPr>
                <w:sz w:val="21"/>
                <w:szCs w:val="21"/>
              </w:rPr>
            </w:pPr>
            <w:r>
              <w:rPr>
                <w:rFonts w:hint="eastAsia"/>
                <w:sz w:val="21"/>
                <w:szCs w:val="21"/>
              </w:rPr>
              <w:t>唐</w:t>
            </w: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榆社县</w:t>
            </w:r>
          </w:p>
        </w:tc>
        <w:tc>
          <w:tcPr>
            <w:tcW w:w="5528" w:type="dxa"/>
            <w:vAlign w:val="center"/>
          </w:tcPr>
          <w:p>
            <w:pPr>
              <w:spacing w:beforeLines="0" w:line="0" w:lineRule="atLeast"/>
              <w:ind w:left="0" w:leftChars="0"/>
              <w:jc w:val="left"/>
              <w:rPr>
                <w:sz w:val="21"/>
                <w:szCs w:val="21"/>
              </w:rPr>
            </w:pPr>
            <w:r>
              <w:rPr>
                <w:rFonts w:hint="eastAsia"/>
                <w:sz w:val="21"/>
                <w:szCs w:val="21"/>
              </w:rPr>
              <w:t>保护范围：东至大佛49.5米，西至大佛10米，南至大佛22.5米，北至大佛23.5米。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69</w:t>
            </w:r>
          </w:p>
        </w:tc>
        <w:tc>
          <w:tcPr>
            <w:tcW w:w="846" w:type="dxa"/>
            <w:vAlign w:val="center"/>
          </w:tcPr>
          <w:p>
            <w:pPr>
              <w:spacing w:beforeLines="0" w:line="0" w:lineRule="atLeast"/>
              <w:ind w:left="0" w:leftChars="0"/>
              <w:jc w:val="left"/>
              <w:rPr>
                <w:sz w:val="21"/>
                <w:szCs w:val="21"/>
              </w:rPr>
            </w:pPr>
            <w:r>
              <w:rPr>
                <w:rFonts w:hint="eastAsia"/>
                <w:sz w:val="21"/>
                <w:szCs w:val="21"/>
              </w:rPr>
              <w:t>石塔</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榆社县</w:t>
            </w:r>
          </w:p>
        </w:tc>
        <w:tc>
          <w:tcPr>
            <w:tcW w:w="5528" w:type="dxa"/>
            <w:vAlign w:val="center"/>
          </w:tcPr>
          <w:p>
            <w:pPr>
              <w:spacing w:beforeLines="0" w:line="0" w:lineRule="atLeast"/>
              <w:ind w:left="0" w:leftChars="0"/>
              <w:jc w:val="left"/>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70</w:t>
            </w:r>
          </w:p>
        </w:tc>
        <w:tc>
          <w:tcPr>
            <w:tcW w:w="846" w:type="dxa"/>
            <w:vAlign w:val="center"/>
          </w:tcPr>
          <w:p>
            <w:pPr>
              <w:spacing w:beforeLines="0" w:line="0" w:lineRule="atLeast"/>
              <w:ind w:left="0" w:leftChars="0"/>
              <w:jc w:val="left"/>
              <w:rPr>
                <w:sz w:val="21"/>
                <w:szCs w:val="21"/>
              </w:rPr>
            </w:pPr>
            <w:r>
              <w:rPr>
                <w:rFonts w:hint="eastAsia"/>
                <w:sz w:val="21"/>
                <w:szCs w:val="21"/>
              </w:rPr>
              <w:t>左权将军殉难处</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左权县</w:t>
            </w:r>
          </w:p>
        </w:tc>
        <w:tc>
          <w:tcPr>
            <w:tcW w:w="5528" w:type="dxa"/>
            <w:vAlign w:val="center"/>
          </w:tcPr>
          <w:p>
            <w:pPr>
              <w:spacing w:beforeLines="0" w:line="0" w:lineRule="atLeast"/>
              <w:ind w:left="0" w:leftChars="0"/>
              <w:jc w:val="left"/>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71</w:t>
            </w:r>
          </w:p>
        </w:tc>
        <w:tc>
          <w:tcPr>
            <w:tcW w:w="846" w:type="dxa"/>
            <w:vAlign w:val="center"/>
          </w:tcPr>
          <w:p>
            <w:pPr>
              <w:spacing w:beforeLines="0" w:line="0" w:lineRule="atLeast"/>
              <w:ind w:left="0" w:leftChars="0"/>
              <w:jc w:val="left"/>
              <w:rPr>
                <w:sz w:val="21"/>
                <w:szCs w:val="21"/>
              </w:rPr>
            </w:pPr>
            <w:r>
              <w:rPr>
                <w:rFonts w:hint="eastAsia"/>
                <w:sz w:val="21"/>
                <w:szCs w:val="21"/>
              </w:rPr>
              <w:t>荣华寺</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和顺县</w:t>
            </w:r>
          </w:p>
        </w:tc>
        <w:tc>
          <w:tcPr>
            <w:tcW w:w="5528" w:type="dxa"/>
            <w:vAlign w:val="center"/>
          </w:tcPr>
          <w:p>
            <w:pPr>
              <w:spacing w:beforeLines="0" w:line="0" w:lineRule="atLeast"/>
              <w:ind w:left="0" w:leftChars="0"/>
              <w:jc w:val="left"/>
              <w:rPr>
                <w:sz w:val="21"/>
                <w:szCs w:val="21"/>
              </w:rPr>
            </w:pPr>
            <w:r>
              <w:rPr>
                <w:rFonts w:hint="eastAsia"/>
                <w:sz w:val="21"/>
                <w:szCs w:val="21"/>
              </w:rPr>
              <w:t>保护范围：东至禅院东禅房后墙外10米，西至西配殿后墙外10米，南至南殿后墙外10米，北至正殿后墙外10米。</w:t>
            </w:r>
          </w:p>
          <w:p>
            <w:pPr>
              <w:spacing w:beforeLines="0" w:line="0" w:lineRule="atLeast"/>
              <w:ind w:left="0" w:leftChars="0"/>
              <w:jc w:val="left"/>
              <w:rPr>
                <w:sz w:val="21"/>
                <w:szCs w:val="21"/>
              </w:rPr>
            </w:pPr>
            <w:r>
              <w:rPr>
                <w:rFonts w:hint="eastAsia"/>
                <w:sz w:val="21"/>
                <w:szCs w:val="21"/>
              </w:rPr>
              <w:t>建设控制地带（一类）：东、南、西、北各至保护范围外30米。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72</w:t>
            </w:r>
          </w:p>
        </w:tc>
        <w:tc>
          <w:tcPr>
            <w:tcW w:w="846" w:type="dxa"/>
            <w:vAlign w:val="center"/>
          </w:tcPr>
          <w:p>
            <w:pPr>
              <w:spacing w:beforeLines="0" w:line="0" w:lineRule="atLeast"/>
              <w:ind w:left="0" w:leftChars="0"/>
              <w:jc w:val="left"/>
              <w:rPr>
                <w:sz w:val="21"/>
                <w:szCs w:val="21"/>
              </w:rPr>
            </w:pPr>
            <w:r>
              <w:rPr>
                <w:rFonts w:hint="eastAsia"/>
                <w:sz w:val="21"/>
                <w:szCs w:val="21"/>
              </w:rPr>
              <w:t>石牌坊</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和顺县</w:t>
            </w:r>
          </w:p>
        </w:tc>
        <w:tc>
          <w:tcPr>
            <w:tcW w:w="5528" w:type="dxa"/>
            <w:vAlign w:val="center"/>
          </w:tcPr>
          <w:p>
            <w:pPr>
              <w:spacing w:beforeLines="0" w:line="0" w:lineRule="atLeast"/>
              <w:ind w:left="0" w:leftChars="0"/>
              <w:jc w:val="left"/>
              <w:rPr>
                <w:sz w:val="21"/>
                <w:szCs w:val="21"/>
              </w:rPr>
            </w:pPr>
            <w:r>
              <w:rPr>
                <w:rFonts w:hint="eastAsia"/>
                <w:sz w:val="21"/>
                <w:szCs w:val="21"/>
              </w:rPr>
              <w:t>保护范围：东、西、南各至石牌坊座墩外10米，北至木牌坊戗石外10米。</w:t>
            </w:r>
          </w:p>
          <w:p>
            <w:pPr>
              <w:spacing w:beforeLines="0" w:line="0" w:lineRule="atLeast"/>
              <w:ind w:left="0" w:leftChars="0"/>
              <w:jc w:val="left"/>
              <w:rPr>
                <w:sz w:val="21"/>
                <w:szCs w:val="21"/>
              </w:rPr>
            </w:pPr>
            <w:r>
              <w:rPr>
                <w:rFonts w:hint="eastAsia"/>
                <w:sz w:val="21"/>
                <w:szCs w:val="21"/>
              </w:rPr>
              <w:t>建设控制地带（一类）：东、南、西、北保护范围外22米。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73</w:t>
            </w:r>
          </w:p>
        </w:tc>
        <w:tc>
          <w:tcPr>
            <w:tcW w:w="846" w:type="dxa"/>
            <w:vAlign w:val="center"/>
          </w:tcPr>
          <w:p>
            <w:pPr>
              <w:spacing w:beforeLines="0" w:line="0" w:lineRule="atLeast"/>
              <w:ind w:left="0" w:leftChars="0"/>
              <w:jc w:val="left"/>
              <w:rPr>
                <w:sz w:val="21"/>
                <w:szCs w:val="21"/>
              </w:rPr>
            </w:pPr>
            <w:r>
              <w:rPr>
                <w:rFonts w:hint="eastAsia"/>
                <w:sz w:val="21"/>
                <w:szCs w:val="21"/>
              </w:rPr>
              <w:t>石马寺</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昔阳县</w:t>
            </w:r>
          </w:p>
        </w:tc>
        <w:tc>
          <w:tcPr>
            <w:tcW w:w="5528" w:type="dxa"/>
            <w:vAlign w:val="center"/>
          </w:tcPr>
          <w:p>
            <w:pPr>
              <w:spacing w:beforeLines="0" w:line="0" w:lineRule="atLeast"/>
              <w:ind w:left="0" w:leftChars="0"/>
              <w:jc w:val="left"/>
              <w:rPr>
                <w:sz w:val="21"/>
                <w:szCs w:val="21"/>
              </w:rPr>
            </w:pPr>
            <w:r>
              <w:rPr>
                <w:rFonts w:hint="eastAsia"/>
                <w:sz w:val="21"/>
                <w:szCs w:val="21"/>
              </w:rPr>
              <w:t>保护范围：以寺六角亭平面中心为基点，以东50米，以西80米，以南100米，以北50米。</w:t>
            </w:r>
          </w:p>
          <w:p>
            <w:pPr>
              <w:spacing w:beforeLines="0" w:line="0" w:lineRule="atLeast"/>
              <w:ind w:left="0" w:leftChars="0"/>
              <w:jc w:val="left"/>
              <w:rPr>
                <w:sz w:val="21"/>
                <w:szCs w:val="21"/>
              </w:rPr>
            </w:pPr>
            <w:r>
              <w:rPr>
                <w:rFonts w:hint="eastAsia"/>
                <w:sz w:val="21"/>
                <w:szCs w:val="21"/>
              </w:rPr>
              <w:t>建设控制地带（一类）：东、南、北各至保护范围外50米，西至保护范围外25米。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74</w:t>
            </w:r>
          </w:p>
        </w:tc>
        <w:tc>
          <w:tcPr>
            <w:tcW w:w="846" w:type="dxa"/>
            <w:vAlign w:val="center"/>
          </w:tcPr>
          <w:p>
            <w:pPr>
              <w:spacing w:beforeLines="0" w:line="0" w:lineRule="atLeast"/>
              <w:ind w:left="0" w:leftChars="0"/>
              <w:jc w:val="left"/>
              <w:rPr>
                <w:sz w:val="21"/>
                <w:szCs w:val="21"/>
              </w:rPr>
            </w:pPr>
            <w:r>
              <w:rPr>
                <w:rFonts w:hint="eastAsia"/>
                <w:sz w:val="21"/>
                <w:szCs w:val="21"/>
              </w:rPr>
              <w:t>卧佛寺</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昔阳县</w:t>
            </w:r>
          </w:p>
        </w:tc>
        <w:tc>
          <w:tcPr>
            <w:tcW w:w="5528" w:type="dxa"/>
            <w:vAlign w:val="center"/>
          </w:tcPr>
          <w:p>
            <w:pPr>
              <w:spacing w:beforeLines="0" w:line="0" w:lineRule="atLeast"/>
              <w:ind w:left="0" w:leftChars="0"/>
              <w:jc w:val="left"/>
              <w:rPr>
                <w:sz w:val="21"/>
                <w:szCs w:val="21"/>
              </w:rPr>
            </w:pPr>
            <w:r>
              <w:rPr>
                <w:rFonts w:hint="eastAsia"/>
                <w:sz w:val="21"/>
                <w:szCs w:val="21"/>
              </w:rPr>
              <w:t>保护范围：西至石窟崖壁50米，东至石窟崖壁45米，北、南各至石窟崖壁30米。</w:t>
            </w:r>
          </w:p>
          <w:p>
            <w:pPr>
              <w:spacing w:beforeLines="0" w:line="0" w:lineRule="atLeast"/>
              <w:ind w:left="0" w:leftChars="0"/>
              <w:jc w:val="left"/>
              <w:rPr>
                <w:sz w:val="21"/>
                <w:szCs w:val="21"/>
              </w:rPr>
            </w:pPr>
            <w:r>
              <w:rPr>
                <w:rFonts w:hint="eastAsia"/>
                <w:sz w:val="21"/>
                <w:szCs w:val="21"/>
              </w:rPr>
              <w:t>建设控制地带（一类）：西至石窟崖壁250米，东至石窟崖壁65米，北、南各至石窟崖壁80米。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75</w:t>
            </w:r>
          </w:p>
        </w:tc>
        <w:tc>
          <w:tcPr>
            <w:tcW w:w="846" w:type="dxa"/>
            <w:vAlign w:val="center"/>
          </w:tcPr>
          <w:p>
            <w:pPr>
              <w:spacing w:beforeLines="0" w:line="0" w:lineRule="atLeast"/>
              <w:ind w:left="0" w:leftChars="0"/>
              <w:jc w:val="left"/>
              <w:rPr>
                <w:sz w:val="21"/>
                <w:szCs w:val="21"/>
              </w:rPr>
            </w:pPr>
            <w:r>
              <w:rPr>
                <w:rFonts w:hint="eastAsia"/>
                <w:sz w:val="21"/>
                <w:szCs w:val="21"/>
              </w:rPr>
              <w:t>松罗院</w:t>
            </w:r>
          </w:p>
        </w:tc>
        <w:tc>
          <w:tcPr>
            <w:tcW w:w="847" w:type="dxa"/>
            <w:vAlign w:val="center"/>
          </w:tcPr>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省级</w:t>
            </w:r>
          </w:p>
        </w:tc>
        <w:tc>
          <w:tcPr>
            <w:tcW w:w="1134" w:type="dxa"/>
            <w:vAlign w:val="center"/>
          </w:tcPr>
          <w:p>
            <w:pPr>
              <w:spacing w:beforeLines="0" w:line="0" w:lineRule="atLeast"/>
              <w:ind w:left="0" w:leftChars="0"/>
              <w:jc w:val="left"/>
              <w:rPr>
                <w:sz w:val="21"/>
                <w:szCs w:val="21"/>
              </w:rPr>
            </w:pPr>
            <w:r>
              <w:rPr>
                <w:rFonts w:hint="eastAsia"/>
                <w:sz w:val="21"/>
                <w:szCs w:val="21"/>
              </w:rPr>
              <w:t>寿阳县</w:t>
            </w:r>
          </w:p>
        </w:tc>
        <w:tc>
          <w:tcPr>
            <w:tcW w:w="5528" w:type="dxa"/>
            <w:vAlign w:val="center"/>
          </w:tcPr>
          <w:p>
            <w:pPr>
              <w:spacing w:beforeLines="0" w:line="0" w:lineRule="atLeast"/>
              <w:ind w:left="0" w:leftChars="0"/>
              <w:jc w:val="left"/>
              <w:rPr>
                <w:sz w:val="21"/>
                <w:szCs w:val="21"/>
              </w:rPr>
            </w:pPr>
            <w:r>
              <w:rPr>
                <w:rFonts w:hint="eastAsia"/>
                <w:sz w:val="21"/>
                <w:szCs w:val="21"/>
              </w:rPr>
              <w:t>保护范围：以松罗院四周墙外15米为保护范围。</w:t>
            </w:r>
          </w:p>
          <w:p>
            <w:pPr>
              <w:spacing w:beforeLines="0" w:line="0" w:lineRule="atLeast"/>
              <w:ind w:left="0" w:leftChars="0"/>
              <w:jc w:val="left"/>
              <w:rPr>
                <w:sz w:val="21"/>
                <w:szCs w:val="21"/>
              </w:rPr>
            </w:pPr>
            <w:r>
              <w:rPr>
                <w:rFonts w:hint="eastAsia"/>
                <w:sz w:val="21"/>
                <w:szCs w:val="21"/>
              </w:rPr>
              <w:t>建设控制地带（一类）：以松罗院四周外墙30米作为建设控制地带。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76</w:t>
            </w:r>
          </w:p>
        </w:tc>
        <w:tc>
          <w:tcPr>
            <w:tcW w:w="846" w:type="dxa"/>
            <w:vAlign w:val="center"/>
          </w:tcPr>
          <w:p>
            <w:pPr>
              <w:spacing w:beforeLines="0" w:line="0" w:lineRule="atLeast"/>
              <w:ind w:left="0" w:leftChars="0"/>
              <w:jc w:val="left"/>
              <w:rPr>
                <w:sz w:val="21"/>
                <w:szCs w:val="21"/>
              </w:rPr>
            </w:pPr>
            <w:r>
              <w:rPr>
                <w:rFonts w:hint="eastAsia"/>
                <w:sz w:val="21"/>
                <w:szCs w:val="21"/>
              </w:rPr>
              <w:t>清虚阁</w:t>
            </w:r>
          </w:p>
        </w:tc>
        <w:tc>
          <w:tcPr>
            <w:tcW w:w="847" w:type="dxa"/>
            <w:vAlign w:val="center"/>
          </w:tcPr>
          <w:p>
            <w:pPr>
              <w:spacing w:beforeLines="0" w:line="0" w:lineRule="atLeast"/>
              <w:ind w:left="0" w:leftChars="0"/>
              <w:jc w:val="left"/>
              <w:rPr>
                <w:sz w:val="21"/>
                <w:szCs w:val="21"/>
              </w:rPr>
            </w:pPr>
            <w:r>
              <w:rPr>
                <w:rFonts w:hint="eastAsia"/>
                <w:sz w:val="21"/>
                <w:szCs w:val="21"/>
              </w:rPr>
              <w:t>明</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榆次区南关村</w:t>
            </w:r>
          </w:p>
        </w:tc>
        <w:tc>
          <w:tcPr>
            <w:tcW w:w="5528" w:type="dxa"/>
            <w:vAlign w:val="center"/>
          </w:tcPr>
          <w:p>
            <w:pPr>
              <w:spacing w:beforeLines="0" w:line="0" w:lineRule="atLeast"/>
              <w:ind w:left="0" w:leftChars="0"/>
              <w:jc w:val="left"/>
              <w:rPr>
                <w:sz w:val="21"/>
                <w:szCs w:val="21"/>
              </w:rPr>
            </w:pPr>
            <w:r>
              <w:rPr>
                <w:rFonts w:hint="eastAsia"/>
                <w:sz w:val="21"/>
                <w:szCs w:val="21"/>
              </w:rPr>
              <w:t>保护范围：东、南、西、北各至护城河外沿。</w:t>
            </w:r>
          </w:p>
          <w:p>
            <w:pPr>
              <w:spacing w:beforeLines="0" w:line="0" w:lineRule="atLeast"/>
              <w:ind w:left="0" w:leftChars="0"/>
              <w:jc w:val="left"/>
              <w:rPr>
                <w:sz w:val="21"/>
                <w:szCs w:val="21"/>
              </w:rPr>
            </w:pPr>
            <w:r>
              <w:rPr>
                <w:rFonts w:hint="eastAsia"/>
                <w:sz w:val="21"/>
                <w:szCs w:val="21"/>
              </w:rPr>
              <w:t>建设控制地带（一类）：东、南、西、北各至商铺外墙。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77</w:t>
            </w:r>
          </w:p>
        </w:tc>
        <w:tc>
          <w:tcPr>
            <w:tcW w:w="846" w:type="dxa"/>
            <w:vAlign w:val="center"/>
          </w:tcPr>
          <w:p>
            <w:pPr>
              <w:spacing w:beforeLines="0" w:line="0" w:lineRule="atLeast"/>
              <w:ind w:left="0" w:leftChars="0"/>
              <w:jc w:val="left"/>
              <w:rPr>
                <w:sz w:val="21"/>
                <w:szCs w:val="21"/>
              </w:rPr>
            </w:pPr>
            <w:r>
              <w:rPr>
                <w:rFonts w:hint="eastAsia"/>
                <w:sz w:val="21"/>
                <w:szCs w:val="21"/>
              </w:rPr>
              <w:t>资圣教寺</w:t>
            </w:r>
          </w:p>
        </w:tc>
        <w:tc>
          <w:tcPr>
            <w:tcW w:w="847" w:type="dxa"/>
            <w:vAlign w:val="center"/>
          </w:tcPr>
          <w:p>
            <w:pPr>
              <w:spacing w:beforeLines="0" w:line="0" w:lineRule="atLeast"/>
              <w:ind w:left="0" w:leftChars="0"/>
              <w:jc w:val="left"/>
              <w:rPr>
                <w:sz w:val="21"/>
                <w:szCs w:val="21"/>
              </w:rPr>
            </w:pPr>
            <w:r>
              <w:rPr>
                <w:rFonts w:hint="eastAsia"/>
                <w:sz w:val="21"/>
                <w:szCs w:val="21"/>
              </w:rPr>
              <w:t>明</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榆次区北要店村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保护范围：东至东围墙，西至西厢房外墙，南至过殿台基外沿，北至大殿后围墙。</w:t>
            </w:r>
          </w:p>
          <w:p>
            <w:pPr>
              <w:spacing w:beforeLines="0" w:line="0" w:lineRule="atLeast"/>
              <w:ind w:left="0" w:leftChars="0"/>
              <w:jc w:val="left"/>
              <w:rPr>
                <w:sz w:val="21"/>
                <w:szCs w:val="21"/>
              </w:rPr>
            </w:pPr>
            <w:r>
              <w:rPr>
                <w:rFonts w:hint="eastAsia"/>
                <w:sz w:val="21"/>
                <w:szCs w:val="21"/>
              </w:rPr>
              <w:t>建设控制地带（一类）：东、南、西、北各至保护范围外25米处（最远至红砖墙处）。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78</w:t>
            </w:r>
          </w:p>
        </w:tc>
        <w:tc>
          <w:tcPr>
            <w:tcW w:w="846" w:type="dxa"/>
            <w:vAlign w:val="center"/>
          </w:tcPr>
          <w:p>
            <w:pPr>
              <w:spacing w:beforeLines="0" w:line="0" w:lineRule="atLeast"/>
              <w:ind w:left="0" w:leftChars="0"/>
              <w:jc w:val="left"/>
              <w:rPr>
                <w:sz w:val="21"/>
                <w:szCs w:val="21"/>
              </w:rPr>
            </w:pPr>
            <w:r>
              <w:rPr>
                <w:rFonts w:hint="eastAsia"/>
                <w:sz w:val="21"/>
                <w:szCs w:val="21"/>
              </w:rPr>
              <w:t>东岳庙</w:t>
            </w:r>
          </w:p>
        </w:tc>
        <w:tc>
          <w:tcPr>
            <w:tcW w:w="847" w:type="dxa"/>
            <w:vAlign w:val="center"/>
          </w:tcPr>
          <w:p>
            <w:pPr>
              <w:spacing w:beforeLines="0" w:line="0" w:lineRule="atLeast"/>
              <w:ind w:left="0" w:leftChars="0"/>
              <w:jc w:val="left"/>
              <w:rPr>
                <w:sz w:val="21"/>
                <w:szCs w:val="21"/>
              </w:rPr>
            </w:pPr>
            <w:r>
              <w:rPr>
                <w:rFonts w:hint="eastAsia"/>
                <w:sz w:val="21"/>
                <w:szCs w:val="21"/>
              </w:rPr>
              <w:t>明、清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榆次区永康村</w:t>
            </w:r>
          </w:p>
        </w:tc>
        <w:tc>
          <w:tcPr>
            <w:tcW w:w="5528" w:type="dxa"/>
            <w:vAlign w:val="center"/>
          </w:tcPr>
          <w:p>
            <w:pPr>
              <w:spacing w:beforeLines="0" w:line="0" w:lineRule="atLeast"/>
              <w:ind w:left="0" w:leftChars="0"/>
              <w:jc w:val="left"/>
              <w:rPr>
                <w:sz w:val="21"/>
                <w:szCs w:val="21"/>
              </w:rPr>
            </w:pPr>
            <w:r>
              <w:rPr>
                <w:rFonts w:hint="eastAsia"/>
                <w:sz w:val="21"/>
                <w:szCs w:val="21"/>
              </w:rPr>
              <w:t>保护范围：东、南、西、北各至寺庙外墙。</w:t>
            </w:r>
          </w:p>
          <w:p>
            <w:pPr>
              <w:spacing w:beforeLines="0" w:line="0" w:lineRule="atLeast"/>
              <w:ind w:left="0" w:leftChars="0"/>
              <w:jc w:val="left"/>
              <w:rPr>
                <w:sz w:val="21"/>
                <w:szCs w:val="21"/>
              </w:rPr>
            </w:pPr>
            <w:r>
              <w:rPr>
                <w:rFonts w:hint="eastAsia"/>
                <w:sz w:val="21"/>
                <w:szCs w:val="21"/>
              </w:rPr>
              <w:t>建设控制地带（一类）：保护范围线外东4.35米、西3.94米、南7.2米、北9.2米各至民居围墙。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79</w:t>
            </w:r>
          </w:p>
        </w:tc>
        <w:tc>
          <w:tcPr>
            <w:tcW w:w="846" w:type="dxa"/>
            <w:vAlign w:val="center"/>
          </w:tcPr>
          <w:p>
            <w:pPr>
              <w:spacing w:beforeLines="0" w:line="0" w:lineRule="atLeast"/>
              <w:ind w:left="0" w:leftChars="0"/>
              <w:jc w:val="left"/>
              <w:rPr>
                <w:sz w:val="21"/>
                <w:szCs w:val="21"/>
              </w:rPr>
            </w:pPr>
            <w:r>
              <w:rPr>
                <w:rFonts w:hint="eastAsia"/>
                <w:sz w:val="21"/>
                <w:szCs w:val="21"/>
              </w:rPr>
              <w:t>文庙</w:t>
            </w:r>
          </w:p>
        </w:tc>
        <w:tc>
          <w:tcPr>
            <w:tcW w:w="847" w:type="dxa"/>
            <w:vAlign w:val="center"/>
          </w:tcPr>
          <w:p>
            <w:pPr>
              <w:spacing w:beforeLines="0" w:line="0" w:lineRule="atLeast"/>
              <w:ind w:left="0" w:leftChars="0"/>
              <w:jc w:val="left"/>
              <w:rPr>
                <w:sz w:val="21"/>
                <w:szCs w:val="21"/>
              </w:rPr>
            </w:pPr>
            <w:r>
              <w:rPr>
                <w:rFonts w:hint="eastAsia"/>
                <w:sz w:val="21"/>
                <w:szCs w:val="21"/>
              </w:rPr>
              <w:t>明</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太谷县城小南街</w:t>
            </w:r>
          </w:p>
        </w:tc>
        <w:tc>
          <w:tcPr>
            <w:tcW w:w="5528" w:type="dxa"/>
            <w:vAlign w:val="center"/>
          </w:tcPr>
          <w:p>
            <w:pPr>
              <w:spacing w:beforeLines="0" w:line="0" w:lineRule="atLeast"/>
              <w:ind w:left="0" w:leftChars="0"/>
              <w:jc w:val="left"/>
              <w:rPr>
                <w:sz w:val="21"/>
                <w:szCs w:val="21"/>
              </w:rPr>
            </w:pPr>
            <w:r>
              <w:rPr>
                <w:rFonts w:hint="eastAsia"/>
                <w:sz w:val="21"/>
                <w:szCs w:val="21"/>
              </w:rPr>
              <w:t>保护范围：东至原围墙外30米，南至小南街南沿，西至三成巷东口，北至太中教学楼台阶。</w:t>
            </w:r>
          </w:p>
          <w:p>
            <w:pPr>
              <w:spacing w:beforeLines="0" w:line="0" w:lineRule="atLeast"/>
              <w:ind w:left="0" w:leftChars="0"/>
              <w:jc w:val="left"/>
              <w:rPr>
                <w:sz w:val="21"/>
                <w:szCs w:val="21"/>
              </w:rPr>
            </w:pPr>
            <w:r>
              <w:rPr>
                <w:rFonts w:hint="eastAsia"/>
                <w:sz w:val="21"/>
                <w:szCs w:val="21"/>
              </w:rPr>
              <w:t>建设控制地带（一类）：东至三官庙巷东沿，南至新建路北沿，西至三成巷西口，北至太中宿舍楼后沿。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80</w:t>
            </w:r>
          </w:p>
        </w:tc>
        <w:tc>
          <w:tcPr>
            <w:tcW w:w="846" w:type="dxa"/>
            <w:vAlign w:val="center"/>
          </w:tcPr>
          <w:p>
            <w:pPr>
              <w:spacing w:beforeLines="0" w:line="0" w:lineRule="atLeast"/>
              <w:ind w:left="0" w:leftChars="0"/>
              <w:jc w:val="left"/>
              <w:rPr>
                <w:sz w:val="21"/>
                <w:szCs w:val="21"/>
              </w:rPr>
            </w:pPr>
            <w:r>
              <w:rPr>
                <w:rFonts w:hint="eastAsia"/>
                <w:sz w:val="21"/>
                <w:szCs w:val="21"/>
              </w:rPr>
              <w:t>天宁寺</w:t>
            </w:r>
          </w:p>
        </w:tc>
        <w:tc>
          <w:tcPr>
            <w:tcW w:w="847" w:type="dxa"/>
            <w:vAlign w:val="center"/>
          </w:tcPr>
          <w:p>
            <w:pPr>
              <w:spacing w:beforeLines="0" w:line="0" w:lineRule="atLeast"/>
              <w:ind w:left="0" w:leftChars="0"/>
              <w:jc w:val="left"/>
              <w:rPr>
                <w:sz w:val="21"/>
                <w:szCs w:val="21"/>
              </w:rPr>
            </w:pPr>
            <w:r>
              <w:rPr>
                <w:rFonts w:hint="eastAsia"/>
                <w:sz w:val="21"/>
                <w:szCs w:val="21"/>
              </w:rPr>
              <w:t>明、清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太谷县城东南18千米凤翼山</w:t>
            </w:r>
          </w:p>
        </w:tc>
        <w:tc>
          <w:tcPr>
            <w:tcW w:w="5528" w:type="dxa"/>
            <w:vAlign w:val="center"/>
          </w:tcPr>
          <w:p>
            <w:pPr>
              <w:spacing w:beforeLines="0" w:line="0" w:lineRule="atLeast"/>
              <w:ind w:left="0" w:leftChars="0"/>
              <w:jc w:val="left"/>
              <w:rPr>
                <w:sz w:val="21"/>
                <w:szCs w:val="21"/>
              </w:rPr>
            </w:pPr>
            <w:r>
              <w:rPr>
                <w:rFonts w:hint="eastAsia"/>
                <w:sz w:val="21"/>
                <w:szCs w:val="21"/>
              </w:rPr>
              <w:t>保护范围：东、南、西、北至寺院建筑墙外各20米。</w:t>
            </w:r>
          </w:p>
          <w:p>
            <w:pPr>
              <w:spacing w:beforeLines="0" w:line="0" w:lineRule="atLeast"/>
              <w:ind w:left="0" w:leftChars="0"/>
              <w:jc w:val="left"/>
              <w:rPr>
                <w:sz w:val="21"/>
                <w:szCs w:val="21"/>
              </w:rPr>
            </w:pPr>
            <w:r>
              <w:rPr>
                <w:rFonts w:hint="eastAsia"/>
                <w:sz w:val="21"/>
                <w:szCs w:val="21"/>
              </w:rPr>
              <w:t>建设控制地带（一类）：东、西至保护范围线外150米，南至保护范围线外300米，北至保护范围线外1500米。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81</w:t>
            </w:r>
          </w:p>
        </w:tc>
        <w:tc>
          <w:tcPr>
            <w:tcW w:w="846" w:type="dxa"/>
            <w:vAlign w:val="center"/>
          </w:tcPr>
          <w:p>
            <w:pPr>
              <w:spacing w:beforeLines="0" w:line="0" w:lineRule="atLeast"/>
              <w:ind w:left="0" w:leftChars="0"/>
              <w:jc w:val="left"/>
              <w:rPr>
                <w:sz w:val="21"/>
                <w:szCs w:val="21"/>
              </w:rPr>
            </w:pPr>
            <w:r>
              <w:rPr>
                <w:rFonts w:hint="eastAsia"/>
                <w:sz w:val="21"/>
                <w:szCs w:val="21"/>
              </w:rPr>
              <w:t>圣果寺</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太谷县城南5千米中咸阳村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保护范围：东至禅房院东后墙外15米，南至寺院南墙以南路以北，西至西厢房墙外20米，北至正殿后墙外15米。</w:t>
            </w:r>
          </w:p>
          <w:p>
            <w:pPr>
              <w:spacing w:beforeLines="0" w:line="0" w:lineRule="atLeast"/>
              <w:ind w:left="0" w:leftChars="0"/>
              <w:jc w:val="left"/>
              <w:rPr>
                <w:sz w:val="21"/>
                <w:szCs w:val="21"/>
              </w:rPr>
            </w:pPr>
            <w:r>
              <w:rPr>
                <w:rFonts w:hint="eastAsia"/>
                <w:sz w:val="21"/>
                <w:szCs w:val="21"/>
              </w:rPr>
              <w:t>建设控制地带（一类）：东、南、西、北至保护范围外50米。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82</w:t>
            </w:r>
          </w:p>
        </w:tc>
        <w:tc>
          <w:tcPr>
            <w:tcW w:w="846" w:type="dxa"/>
            <w:vAlign w:val="center"/>
          </w:tcPr>
          <w:p>
            <w:pPr>
              <w:spacing w:beforeLines="0" w:line="0" w:lineRule="atLeast"/>
              <w:ind w:left="0" w:leftChars="0"/>
              <w:jc w:val="left"/>
              <w:rPr>
                <w:sz w:val="21"/>
                <w:szCs w:val="21"/>
              </w:rPr>
            </w:pPr>
            <w:r>
              <w:rPr>
                <w:rFonts w:hint="eastAsia"/>
                <w:sz w:val="21"/>
                <w:szCs w:val="21"/>
              </w:rPr>
              <w:t>洪福寺</w:t>
            </w:r>
          </w:p>
        </w:tc>
        <w:tc>
          <w:tcPr>
            <w:tcW w:w="847" w:type="dxa"/>
            <w:vAlign w:val="center"/>
          </w:tcPr>
          <w:p>
            <w:pPr>
              <w:spacing w:beforeLines="0" w:line="0" w:lineRule="atLeast"/>
              <w:ind w:left="0" w:leftChars="0"/>
              <w:jc w:val="left"/>
              <w:rPr>
                <w:sz w:val="21"/>
                <w:szCs w:val="21"/>
              </w:rPr>
            </w:pPr>
            <w:r>
              <w:rPr>
                <w:rFonts w:hint="eastAsia"/>
                <w:sz w:val="21"/>
                <w:szCs w:val="21"/>
              </w:rPr>
              <w:t>元、明</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祁县城东南12千米梁村</w:t>
            </w:r>
          </w:p>
        </w:tc>
        <w:tc>
          <w:tcPr>
            <w:tcW w:w="5528" w:type="dxa"/>
            <w:vAlign w:val="center"/>
          </w:tcPr>
          <w:p>
            <w:pPr>
              <w:spacing w:beforeLines="0" w:line="0" w:lineRule="atLeast"/>
              <w:ind w:left="0" w:leftChars="0"/>
              <w:jc w:val="left"/>
              <w:rPr>
                <w:sz w:val="21"/>
                <w:szCs w:val="21"/>
              </w:rPr>
            </w:pPr>
            <w:r>
              <w:rPr>
                <w:rFonts w:hint="eastAsia"/>
                <w:sz w:val="21"/>
                <w:szCs w:val="21"/>
              </w:rPr>
              <w:t>保护范围：以洪福寺围墙四周为界，东向外5米，南向外5米，西向外8米，北向外12米。</w:t>
            </w:r>
          </w:p>
          <w:p>
            <w:pPr>
              <w:spacing w:beforeLines="0" w:line="0" w:lineRule="atLeast"/>
              <w:ind w:left="0" w:leftChars="0"/>
              <w:jc w:val="left"/>
              <w:rPr>
                <w:sz w:val="21"/>
                <w:szCs w:val="21"/>
              </w:rPr>
            </w:pPr>
            <w:r>
              <w:rPr>
                <w:rFonts w:hint="eastAsia"/>
                <w:sz w:val="21"/>
                <w:szCs w:val="21"/>
              </w:rPr>
              <w:t>建设控制地带（一类）：保护范围线外东、南向外45米，西向外42米，北向外38米。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83</w:t>
            </w:r>
          </w:p>
        </w:tc>
        <w:tc>
          <w:tcPr>
            <w:tcW w:w="846" w:type="dxa"/>
            <w:vAlign w:val="center"/>
          </w:tcPr>
          <w:p>
            <w:pPr>
              <w:spacing w:beforeLines="0" w:line="0" w:lineRule="atLeast"/>
              <w:ind w:left="0" w:leftChars="0"/>
              <w:jc w:val="left"/>
              <w:rPr>
                <w:sz w:val="21"/>
                <w:szCs w:val="21"/>
              </w:rPr>
            </w:pPr>
            <w:r>
              <w:rPr>
                <w:rFonts w:hint="eastAsia"/>
                <w:sz w:val="21"/>
                <w:szCs w:val="21"/>
              </w:rPr>
              <w:t>罗家祠堂</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祁县城东6千米河湾村</w:t>
            </w:r>
          </w:p>
        </w:tc>
        <w:tc>
          <w:tcPr>
            <w:tcW w:w="5528" w:type="dxa"/>
            <w:vAlign w:val="center"/>
          </w:tcPr>
          <w:p>
            <w:pPr>
              <w:spacing w:beforeLines="0" w:line="0" w:lineRule="atLeast"/>
              <w:ind w:left="0" w:leftChars="0"/>
              <w:jc w:val="left"/>
              <w:rPr>
                <w:sz w:val="21"/>
                <w:szCs w:val="21"/>
              </w:rPr>
            </w:pPr>
            <w:r>
              <w:rPr>
                <w:rFonts w:hint="eastAsia"/>
                <w:sz w:val="21"/>
                <w:szCs w:val="21"/>
              </w:rPr>
              <w:t>保护范围：东部：罗家祠堂东墙至罗锡林院中心10米处；南部：罗家祠堂正殿后墙至罗善璋、罗本国正房后墙10米处；西部：罗家祠堂西墙至罗永林院中心10米处；北部：罗家祠堂北墙至罗锡广、罗锡元院中心10米处。</w:t>
            </w:r>
          </w:p>
          <w:p>
            <w:pPr>
              <w:spacing w:beforeLines="0" w:line="0" w:lineRule="atLeast"/>
              <w:ind w:left="0" w:leftChars="0"/>
              <w:jc w:val="left"/>
              <w:rPr>
                <w:sz w:val="21"/>
                <w:szCs w:val="21"/>
              </w:rPr>
            </w:pPr>
            <w:r>
              <w:rPr>
                <w:rFonts w:hint="eastAsia"/>
                <w:sz w:val="21"/>
                <w:szCs w:val="21"/>
              </w:rPr>
              <w:t>建设控制地带（一类）：保护范围外各向外40米。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84</w:t>
            </w:r>
          </w:p>
        </w:tc>
        <w:tc>
          <w:tcPr>
            <w:tcW w:w="846" w:type="dxa"/>
            <w:vAlign w:val="center"/>
          </w:tcPr>
          <w:p>
            <w:pPr>
              <w:spacing w:beforeLines="0" w:line="0" w:lineRule="atLeast"/>
              <w:ind w:left="0" w:leftChars="0"/>
              <w:jc w:val="left"/>
              <w:rPr>
                <w:sz w:val="21"/>
                <w:szCs w:val="21"/>
              </w:rPr>
            </w:pPr>
            <w:r>
              <w:rPr>
                <w:rFonts w:hint="eastAsia"/>
                <w:sz w:val="21"/>
                <w:szCs w:val="21"/>
              </w:rPr>
              <w:t>大德恒票号旧址</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祁县城内西大街14—16号</w:t>
            </w:r>
          </w:p>
        </w:tc>
        <w:tc>
          <w:tcPr>
            <w:tcW w:w="5528" w:type="dxa"/>
            <w:vAlign w:val="center"/>
          </w:tcPr>
          <w:p>
            <w:pPr>
              <w:spacing w:beforeLines="0" w:line="0" w:lineRule="atLeast"/>
              <w:ind w:left="0" w:leftChars="0"/>
              <w:jc w:val="left"/>
              <w:rPr>
                <w:sz w:val="21"/>
                <w:szCs w:val="21"/>
              </w:rPr>
            </w:pPr>
            <w:r>
              <w:rPr>
                <w:rFonts w:hint="eastAsia"/>
                <w:sz w:val="21"/>
                <w:szCs w:val="21"/>
              </w:rPr>
              <w:t>保护范围：大德恒票号旧址所有建筑用地外轮廓线</w:t>
            </w:r>
          </w:p>
          <w:p>
            <w:pPr>
              <w:spacing w:beforeLines="0" w:line="0" w:lineRule="atLeast"/>
              <w:ind w:left="0" w:leftChars="0"/>
              <w:jc w:val="left"/>
              <w:rPr>
                <w:sz w:val="21"/>
                <w:szCs w:val="21"/>
              </w:rPr>
            </w:pPr>
            <w:r>
              <w:rPr>
                <w:rFonts w:hint="eastAsia"/>
                <w:sz w:val="21"/>
                <w:szCs w:val="21"/>
              </w:rPr>
              <w:t>建设控制地带（一类）：大德恒票号旧址保护范围外各50米。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85</w:t>
            </w:r>
          </w:p>
        </w:tc>
        <w:tc>
          <w:tcPr>
            <w:tcW w:w="846" w:type="dxa"/>
            <w:vAlign w:val="center"/>
          </w:tcPr>
          <w:p>
            <w:pPr>
              <w:spacing w:beforeLines="0" w:line="0" w:lineRule="atLeast"/>
              <w:ind w:left="0" w:leftChars="0"/>
              <w:jc w:val="left"/>
              <w:rPr>
                <w:sz w:val="21"/>
                <w:szCs w:val="21"/>
              </w:rPr>
            </w:pPr>
            <w:r>
              <w:rPr>
                <w:rFonts w:hint="eastAsia"/>
                <w:sz w:val="21"/>
                <w:szCs w:val="21"/>
              </w:rPr>
              <w:t>大德诚茶庄旧址</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祁县城内西大街8号</w:t>
            </w:r>
          </w:p>
        </w:tc>
        <w:tc>
          <w:tcPr>
            <w:tcW w:w="5528" w:type="dxa"/>
            <w:vAlign w:val="center"/>
          </w:tcPr>
          <w:p>
            <w:pPr>
              <w:spacing w:beforeLines="0" w:line="0" w:lineRule="atLeast"/>
              <w:ind w:left="0" w:leftChars="0"/>
              <w:jc w:val="left"/>
              <w:rPr>
                <w:sz w:val="21"/>
                <w:szCs w:val="21"/>
              </w:rPr>
            </w:pPr>
            <w:r>
              <w:rPr>
                <w:rFonts w:hint="eastAsia"/>
                <w:sz w:val="21"/>
                <w:szCs w:val="21"/>
              </w:rPr>
              <w:t>保护范围：</w:t>
            </w:r>
          </w:p>
          <w:p>
            <w:pPr>
              <w:spacing w:beforeLines="0" w:line="0" w:lineRule="atLeast"/>
              <w:ind w:left="0" w:leftChars="0"/>
              <w:jc w:val="left"/>
              <w:rPr>
                <w:sz w:val="21"/>
                <w:szCs w:val="21"/>
              </w:rPr>
            </w:pPr>
            <w:r>
              <w:rPr>
                <w:rFonts w:hint="eastAsia"/>
                <w:sz w:val="21"/>
                <w:szCs w:val="21"/>
              </w:rPr>
              <w:t>大德诚茶庄旧址所有建筑用地外轮廓线界定为保护范围。</w:t>
            </w:r>
          </w:p>
          <w:p>
            <w:pPr>
              <w:spacing w:beforeLines="0" w:line="0" w:lineRule="atLeast"/>
              <w:ind w:left="0" w:leftChars="0"/>
              <w:jc w:val="left"/>
              <w:rPr>
                <w:sz w:val="21"/>
                <w:szCs w:val="21"/>
              </w:rPr>
            </w:pPr>
            <w:r>
              <w:rPr>
                <w:rFonts w:hint="eastAsia"/>
                <w:sz w:val="21"/>
                <w:szCs w:val="21"/>
              </w:rPr>
              <w:t>建设控制地带（一类）：大德诚茶庄旧址保护范围外各50米。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86</w:t>
            </w:r>
          </w:p>
        </w:tc>
        <w:tc>
          <w:tcPr>
            <w:tcW w:w="846" w:type="dxa"/>
            <w:vAlign w:val="center"/>
          </w:tcPr>
          <w:p>
            <w:pPr>
              <w:spacing w:beforeLines="0" w:line="0" w:lineRule="atLeast"/>
              <w:ind w:left="0" w:leftChars="0"/>
              <w:jc w:val="left"/>
              <w:rPr>
                <w:sz w:val="21"/>
                <w:szCs w:val="21"/>
              </w:rPr>
            </w:pPr>
            <w:r>
              <w:rPr>
                <w:rFonts w:hint="eastAsia"/>
                <w:sz w:val="21"/>
                <w:szCs w:val="21"/>
              </w:rPr>
              <w:t>京陵城遗址</w:t>
            </w:r>
          </w:p>
        </w:tc>
        <w:tc>
          <w:tcPr>
            <w:tcW w:w="847" w:type="dxa"/>
            <w:vAlign w:val="center"/>
          </w:tcPr>
          <w:p>
            <w:pPr>
              <w:spacing w:beforeLines="0" w:line="0" w:lineRule="atLeast"/>
              <w:ind w:left="0" w:leftChars="0"/>
              <w:jc w:val="left"/>
              <w:rPr>
                <w:sz w:val="21"/>
                <w:szCs w:val="21"/>
              </w:rPr>
            </w:pPr>
            <w:r>
              <w:rPr>
                <w:rFonts w:hint="eastAsia"/>
                <w:sz w:val="21"/>
                <w:szCs w:val="21"/>
              </w:rPr>
              <w:t>西汉</w:t>
            </w:r>
          </w:p>
          <w:p>
            <w:pPr>
              <w:spacing w:beforeLines="0" w:line="0" w:lineRule="atLeast"/>
              <w:ind w:left="0" w:leftChars="0"/>
              <w:jc w:val="left"/>
              <w:rPr>
                <w:sz w:val="21"/>
                <w:szCs w:val="21"/>
              </w:rPr>
            </w:pP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平遥县城东北阎良庄村</w:t>
            </w:r>
          </w:p>
        </w:tc>
        <w:tc>
          <w:tcPr>
            <w:tcW w:w="5528" w:type="dxa"/>
            <w:vAlign w:val="center"/>
          </w:tcPr>
          <w:p>
            <w:pPr>
              <w:spacing w:beforeLines="0" w:line="0" w:lineRule="atLeast"/>
              <w:ind w:left="0" w:leftChars="0"/>
              <w:jc w:val="left"/>
              <w:rPr>
                <w:sz w:val="21"/>
                <w:szCs w:val="21"/>
              </w:rPr>
            </w:pPr>
            <w:r>
              <w:rPr>
                <w:rFonts w:hint="eastAsia"/>
                <w:sz w:val="21"/>
                <w:szCs w:val="21"/>
              </w:rPr>
              <w:t>保护范围：以遗址中心向四周延伸600米。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87</w:t>
            </w:r>
          </w:p>
        </w:tc>
        <w:tc>
          <w:tcPr>
            <w:tcW w:w="846" w:type="dxa"/>
            <w:vAlign w:val="center"/>
          </w:tcPr>
          <w:p>
            <w:pPr>
              <w:spacing w:beforeLines="0" w:line="0" w:lineRule="atLeast"/>
              <w:ind w:left="0" w:leftChars="0"/>
              <w:jc w:val="left"/>
              <w:rPr>
                <w:sz w:val="21"/>
                <w:szCs w:val="21"/>
              </w:rPr>
            </w:pPr>
            <w:r>
              <w:rPr>
                <w:rFonts w:hint="eastAsia"/>
                <w:sz w:val="21"/>
                <w:szCs w:val="21"/>
              </w:rPr>
              <w:t>先师庙戏台</w:t>
            </w:r>
          </w:p>
        </w:tc>
        <w:tc>
          <w:tcPr>
            <w:tcW w:w="847" w:type="dxa"/>
            <w:vAlign w:val="center"/>
          </w:tcPr>
          <w:p>
            <w:pPr>
              <w:spacing w:beforeLines="0" w:line="0" w:lineRule="atLeast"/>
              <w:ind w:left="0" w:leftChars="0"/>
              <w:jc w:val="left"/>
              <w:rPr>
                <w:sz w:val="21"/>
                <w:szCs w:val="21"/>
              </w:rPr>
            </w:pPr>
            <w:r>
              <w:rPr>
                <w:rFonts w:hint="eastAsia"/>
                <w:sz w:val="21"/>
                <w:szCs w:val="21"/>
              </w:rPr>
              <w:t>元</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平遥县城南14千米东卜宜村</w:t>
            </w:r>
          </w:p>
        </w:tc>
        <w:tc>
          <w:tcPr>
            <w:tcW w:w="5528" w:type="dxa"/>
            <w:vAlign w:val="center"/>
          </w:tcPr>
          <w:p>
            <w:pPr>
              <w:spacing w:beforeLines="0" w:line="0" w:lineRule="atLeast"/>
              <w:ind w:left="0" w:leftChars="0"/>
              <w:jc w:val="left"/>
              <w:rPr>
                <w:sz w:val="21"/>
                <w:szCs w:val="21"/>
              </w:rPr>
            </w:pPr>
            <w:r>
              <w:rPr>
                <w:rFonts w:hint="eastAsia"/>
                <w:sz w:val="21"/>
                <w:szCs w:val="21"/>
              </w:rPr>
              <w:t>保护范围：北至正殿后墙外5米，东至关帝殿后墙外5米，西至庙围墙外5米，南至戏台后檐柱外24米（沟底）。</w:t>
            </w:r>
          </w:p>
          <w:p>
            <w:pPr>
              <w:spacing w:beforeLines="0" w:line="0" w:lineRule="atLeast"/>
              <w:ind w:left="0" w:leftChars="0"/>
              <w:jc w:val="left"/>
              <w:rPr>
                <w:sz w:val="21"/>
                <w:szCs w:val="21"/>
              </w:rPr>
            </w:pPr>
            <w:r>
              <w:rPr>
                <w:rFonts w:hint="eastAsia"/>
                <w:sz w:val="21"/>
                <w:szCs w:val="21"/>
              </w:rPr>
              <w:t>建设控制地带（一类）：戏台四面各延伸100米。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88</w:t>
            </w:r>
          </w:p>
        </w:tc>
        <w:tc>
          <w:tcPr>
            <w:tcW w:w="846" w:type="dxa"/>
            <w:vAlign w:val="center"/>
          </w:tcPr>
          <w:p>
            <w:pPr>
              <w:spacing w:beforeLines="0" w:line="0" w:lineRule="atLeast"/>
              <w:ind w:left="0" w:leftChars="0"/>
              <w:jc w:val="left"/>
              <w:rPr>
                <w:sz w:val="21"/>
                <w:szCs w:val="21"/>
              </w:rPr>
            </w:pPr>
            <w:r>
              <w:rPr>
                <w:rFonts w:hint="eastAsia"/>
                <w:sz w:val="21"/>
                <w:szCs w:val="21"/>
              </w:rPr>
              <w:t>百川通票号旧址</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平遥县城内南大街109号</w:t>
            </w:r>
          </w:p>
        </w:tc>
        <w:tc>
          <w:tcPr>
            <w:tcW w:w="5528" w:type="dxa"/>
            <w:vAlign w:val="center"/>
          </w:tcPr>
          <w:p>
            <w:pPr>
              <w:spacing w:beforeLines="0" w:line="0" w:lineRule="atLeast"/>
              <w:ind w:left="0" w:leftChars="0"/>
              <w:jc w:val="left"/>
              <w:rPr>
                <w:sz w:val="21"/>
                <w:szCs w:val="21"/>
              </w:rPr>
            </w:pPr>
            <w:r>
              <w:rPr>
                <w:rFonts w:hint="eastAsia"/>
                <w:sz w:val="21"/>
                <w:szCs w:val="21"/>
              </w:rPr>
              <w:t>保护范围：百川通票号旧址院墙以内。</w:t>
            </w:r>
          </w:p>
          <w:p>
            <w:pPr>
              <w:spacing w:beforeLines="0" w:line="0" w:lineRule="atLeast"/>
              <w:ind w:left="0" w:leftChars="0"/>
              <w:jc w:val="left"/>
              <w:rPr>
                <w:sz w:val="21"/>
                <w:szCs w:val="21"/>
              </w:rPr>
            </w:pPr>
            <w:r>
              <w:rPr>
                <w:rFonts w:hint="eastAsia"/>
                <w:sz w:val="21"/>
                <w:szCs w:val="21"/>
              </w:rPr>
              <w:t>建设控制地带（一类）：古城墙以内属建设控制地带。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89</w:t>
            </w:r>
          </w:p>
        </w:tc>
        <w:tc>
          <w:tcPr>
            <w:tcW w:w="846" w:type="dxa"/>
            <w:vAlign w:val="center"/>
          </w:tcPr>
          <w:p>
            <w:pPr>
              <w:spacing w:beforeLines="0" w:line="0" w:lineRule="atLeast"/>
              <w:ind w:left="0" w:leftChars="0"/>
              <w:jc w:val="left"/>
              <w:rPr>
                <w:sz w:val="21"/>
                <w:szCs w:val="21"/>
              </w:rPr>
            </w:pPr>
            <w:r>
              <w:rPr>
                <w:rFonts w:hint="eastAsia"/>
                <w:sz w:val="21"/>
                <w:szCs w:val="21"/>
              </w:rPr>
              <w:t>蔚泰厚票号旧址</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平遥县城内西大街36号</w:t>
            </w:r>
          </w:p>
        </w:tc>
        <w:tc>
          <w:tcPr>
            <w:tcW w:w="5528" w:type="dxa"/>
            <w:vAlign w:val="center"/>
          </w:tcPr>
          <w:p>
            <w:pPr>
              <w:spacing w:beforeLines="0" w:line="0" w:lineRule="atLeast"/>
              <w:ind w:left="0" w:leftChars="0"/>
              <w:jc w:val="left"/>
              <w:rPr>
                <w:sz w:val="21"/>
                <w:szCs w:val="21"/>
              </w:rPr>
            </w:pPr>
            <w:r>
              <w:rPr>
                <w:rFonts w:hint="eastAsia"/>
                <w:sz w:val="21"/>
                <w:szCs w:val="21"/>
              </w:rPr>
              <w:t>保护范围：旧址院墙以内。</w:t>
            </w:r>
          </w:p>
          <w:p>
            <w:pPr>
              <w:spacing w:beforeLines="0" w:line="0" w:lineRule="atLeast"/>
              <w:ind w:left="0" w:leftChars="0"/>
              <w:jc w:val="left"/>
              <w:rPr>
                <w:sz w:val="21"/>
                <w:szCs w:val="21"/>
              </w:rPr>
            </w:pPr>
            <w:r>
              <w:rPr>
                <w:rFonts w:hint="eastAsia"/>
                <w:sz w:val="21"/>
                <w:szCs w:val="21"/>
              </w:rPr>
              <w:t>建设控制地带（一类）：古城墙内属建设控制地带。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90</w:t>
            </w:r>
          </w:p>
        </w:tc>
        <w:tc>
          <w:tcPr>
            <w:tcW w:w="846" w:type="dxa"/>
            <w:vAlign w:val="center"/>
          </w:tcPr>
          <w:p>
            <w:pPr>
              <w:spacing w:beforeLines="0" w:line="0" w:lineRule="atLeast"/>
              <w:ind w:left="0" w:leftChars="0"/>
              <w:jc w:val="left"/>
              <w:rPr>
                <w:sz w:val="21"/>
                <w:szCs w:val="21"/>
              </w:rPr>
            </w:pPr>
            <w:r>
              <w:rPr>
                <w:rFonts w:hint="eastAsia"/>
                <w:sz w:val="21"/>
                <w:szCs w:val="21"/>
              </w:rPr>
              <w:t>南垣山墓群</w:t>
            </w:r>
          </w:p>
        </w:tc>
        <w:tc>
          <w:tcPr>
            <w:tcW w:w="847" w:type="dxa"/>
            <w:vAlign w:val="center"/>
          </w:tcPr>
          <w:p>
            <w:pPr>
              <w:spacing w:beforeLines="0" w:line="0" w:lineRule="atLeast"/>
              <w:ind w:left="0" w:leftChars="0"/>
              <w:jc w:val="left"/>
              <w:rPr>
                <w:sz w:val="21"/>
                <w:szCs w:val="21"/>
              </w:rPr>
            </w:pPr>
            <w:r>
              <w:rPr>
                <w:rFonts w:hint="eastAsia"/>
                <w:sz w:val="21"/>
                <w:szCs w:val="21"/>
              </w:rPr>
              <w:t>战国—汉</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介休市城南3千米</w:t>
            </w:r>
          </w:p>
        </w:tc>
        <w:tc>
          <w:tcPr>
            <w:tcW w:w="5528" w:type="dxa"/>
            <w:vAlign w:val="center"/>
          </w:tcPr>
          <w:p>
            <w:pPr>
              <w:spacing w:beforeLines="0" w:line="0" w:lineRule="atLeast"/>
              <w:ind w:left="0" w:leftChars="0"/>
              <w:jc w:val="left"/>
              <w:rPr>
                <w:sz w:val="21"/>
                <w:szCs w:val="21"/>
              </w:rPr>
            </w:pPr>
            <w:r>
              <w:rPr>
                <w:rFonts w:hint="eastAsia"/>
                <w:sz w:val="21"/>
                <w:szCs w:val="21"/>
              </w:rPr>
              <w:t>保护范围：东以南垣山果园为中心至介龙线以西；西以南垣山果园为中心至通往九三九公路东沿以东；南以南垣山果园为中心至遐壁、北庄村以北；北以南垣山果园为中心至火葬场以南。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91</w:t>
            </w:r>
          </w:p>
        </w:tc>
        <w:tc>
          <w:tcPr>
            <w:tcW w:w="846" w:type="dxa"/>
            <w:vAlign w:val="center"/>
          </w:tcPr>
          <w:p>
            <w:pPr>
              <w:spacing w:beforeLines="0" w:line="0" w:lineRule="atLeast"/>
              <w:ind w:left="0" w:leftChars="0"/>
              <w:jc w:val="left"/>
              <w:rPr>
                <w:sz w:val="21"/>
                <w:szCs w:val="21"/>
              </w:rPr>
            </w:pPr>
            <w:r>
              <w:rPr>
                <w:rFonts w:hint="eastAsia"/>
                <w:sz w:val="21"/>
                <w:szCs w:val="21"/>
              </w:rPr>
              <w:t>曹玠墓</w:t>
            </w:r>
          </w:p>
        </w:tc>
        <w:tc>
          <w:tcPr>
            <w:tcW w:w="847" w:type="dxa"/>
            <w:vAlign w:val="center"/>
          </w:tcPr>
          <w:p>
            <w:pPr>
              <w:spacing w:beforeLines="0" w:line="0" w:lineRule="atLeast"/>
              <w:ind w:left="0" w:leftChars="0"/>
              <w:jc w:val="left"/>
              <w:rPr>
                <w:sz w:val="21"/>
                <w:szCs w:val="21"/>
              </w:rPr>
            </w:pPr>
            <w:r>
              <w:rPr>
                <w:rFonts w:hint="eastAsia"/>
                <w:sz w:val="21"/>
                <w:szCs w:val="21"/>
              </w:rPr>
              <w:t>宋</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介休市盐场村东100米</w:t>
            </w:r>
          </w:p>
        </w:tc>
        <w:tc>
          <w:tcPr>
            <w:tcW w:w="5528" w:type="dxa"/>
            <w:vAlign w:val="center"/>
          </w:tcPr>
          <w:p>
            <w:pPr>
              <w:spacing w:beforeLines="0" w:line="0" w:lineRule="atLeast"/>
              <w:ind w:left="0" w:leftChars="0"/>
              <w:jc w:val="left"/>
              <w:rPr>
                <w:sz w:val="21"/>
                <w:szCs w:val="21"/>
              </w:rPr>
            </w:pPr>
            <w:r>
              <w:rPr>
                <w:rFonts w:hint="eastAsia"/>
                <w:sz w:val="21"/>
                <w:szCs w:val="21"/>
              </w:rPr>
              <w:t>保护范围：东至封土以东100米；南至墓表以南100米；西至封土以西80米；北至封土以北100米。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92</w:t>
            </w:r>
          </w:p>
        </w:tc>
        <w:tc>
          <w:tcPr>
            <w:tcW w:w="846" w:type="dxa"/>
            <w:vAlign w:val="center"/>
          </w:tcPr>
          <w:p>
            <w:pPr>
              <w:spacing w:beforeLines="0" w:line="0" w:lineRule="atLeast"/>
              <w:ind w:left="0" w:leftChars="0"/>
              <w:jc w:val="left"/>
              <w:rPr>
                <w:sz w:val="21"/>
                <w:szCs w:val="21"/>
              </w:rPr>
            </w:pPr>
            <w:r>
              <w:rPr>
                <w:rFonts w:hint="eastAsia"/>
                <w:sz w:val="21"/>
                <w:szCs w:val="21"/>
              </w:rPr>
              <w:t>文庙</w:t>
            </w:r>
          </w:p>
        </w:tc>
        <w:tc>
          <w:tcPr>
            <w:tcW w:w="847" w:type="dxa"/>
            <w:vAlign w:val="center"/>
          </w:tcPr>
          <w:p>
            <w:pPr>
              <w:spacing w:beforeLines="0" w:line="0" w:lineRule="atLeast"/>
              <w:ind w:left="0" w:leftChars="0"/>
              <w:jc w:val="left"/>
              <w:rPr>
                <w:sz w:val="21"/>
                <w:szCs w:val="21"/>
              </w:rPr>
            </w:pPr>
            <w:r>
              <w:rPr>
                <w:rFonts w:hint="eastAsia"/>
                <w:sz w:val="21"/>
                <w:szCs w:val="21"/>
              </w:rPr>
              <w:t>元、清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介休市城内学巷</w:t>
            </w:r>
          </w:p>
        </w:tc>
        <w:tc>
          <w:tcPr>
            <w:tcW w:w="5528" w:type="dxa"/>
            <w:vAlign w:val="center"/>
          </w:tcPr>
          <w:p>
            <w:pPr>
              <w:spacing w:beforeLines="0" w:line="0" w:lineRule="atLeast"/>
              <w:ind w:left="0" w:leftChars="0"/>
              <w:jc w:val="left"/>
              <w:rPr>
                <w:sz w:val="21"/>
                <w:szCs w:val="21"/>
              </w:rPr>
            </w:pPr>
            <w:r>
              <w:rPr>
                <w:rFonts w:hint="eastAsia"/>
                <w:sz w:val="21"/>
                <w:szCs w:val="21"/>
              </w:rPr>
              <w:t>保护范围：东至东配殿后墙根以东5米；南至棂星门以南5米；西至西配殿后墙根以西5米；北至大成殿后墙根以北5米。</w:t>
            </w:r>
          </w:p>
          <w:p>
            <w:pPr>
              <w:spacing w:beforeLines="0" w:line="0" w:lineRule="atLeast"/>
              <w:ind w:left="0" w:leftChars="0"/>
              <w:jc w:val="left"/>
              <w:rPr>
                <w:sz w:val="21"/>
                <w:szCs w:val="21"/>
              </w:rPr>
            </w:pPr>
            <w:r>
              <w:rPr>
                <w:rFonts w:hint="eastAsia"/>
                <w:sz w:val="21"/>
                <w:szCs w:val="21"/>
              </w:rPr>
              <w:t>建设控制地带（一类）：东、南、西、北保护范围外50米。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93</w:t>
            </w:r>
          </w:p>
        </w:tc>
        <w:tc>
          <w:tcPr>
            <w:tcW w:w="846" w:type="dxa"/>
            <w:vAlign w:val="center"/>
          </w:tcPr>
          <w:p>
            <w:pPr>
              <w:spacing w:beforeLines="0" w:line="0" w:lineRule="atLeast"/>
              <w:ind w:left="0" w:leftChars="0"/>
              <w:jc w:val="left"/>
              <w:rPr>
                <w:sz w:val="21"/>
                <w:szCs w:val="21"/>
              </w:rPr>
            </w:pPr>
            <w:r>
              <w:rPr>
                <w:rFonts w:hint="eastAsia"/>
                <w:sz w:val="21"/>
                <w:szCs w:val="21"/>
              </w:rPr>
              <w:t>城隍庙</w:t>
            </w:r>
          </w:p>
        </w:tc>
        <w:tc>
          <w:tcPr>
            <w:tcW w:w="847" w:type="dxa"/>
            <w:vAlign w:val="center"/>
          </w:tcPr>
          <w:p>
            <w:pPr>
              <w:spacing w:beforeLines="0" w:line="0" w:lineRule="atLeast"/>
              <w:ind w:left="0" w:leftChars="0"/>
              <w:jc w:val="left"/>
              <w:rPr>
                <w:sz w:val="21"/>
                <w:szCs w:val="21"/>
              </w:rPr>
            </w:pPr>
            <w:r>
              <w:rPr>
                <w:rFonts w:hint="eastAsia"/>
                <w:sz w:val="21"/>
                <w:szCs w:val="21"/>
              </w:rPr>
              <w:t>明、清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介休市城内东大街</w:t>
            </w:r>
          </w:p>
        </w:tc>
        <w:tc>
          <w:tcPr>
            <w:tcW w:w="5528" w:type="dxa"/>
            <w:vAlign w:val="center"/>
          </w:tcPr>
          <w:p>
            <w:pPr>
              <w:spacing w:beforeLines="0" w:line="0" w:lineRule="atLeast"/>
              <w:ind w:left="0" w:leftChars="0"/>
              <w:jc w:val="left"/>
              <w:rPr>
                <w:sz w:val="21"/>
                <w:szCs w:val="21"/>
              </w:rPr>
            </w:pPr>
            <w:r>
              <w:rPr>
                <w:rFonts w:hint="eastAsia"/>
                <w:sz w:val="21"/>
                <w:szCs w:val="21"/>
              </w:rPr>
              <w:t>保护范围：东至东配殿墙根以东5米；南至戏台抱厦墙根以南35米；西至西配殿墙根以西5米；北至大殿后墙根以北5米。</w:t>
            </w:r>
          </w:p>
          <w:p>
            <w:pPr>
              <w:spacing w:beforeLines="0" w:line="0" w:lineRule="atLeast"/>
              <w:ind w:left="0" w:leftChars="0"/>
              <w:jc w:val="left"/>
              <w:rPr>
                <w:sz w:val="21"/>
                <w:szCs w:val="21"/>
              </w:rPr>
            </w:pPr>
            <w:r>
              <w:rPr>
                <w:rFonts w:hint="eastAsia"/>
                <w:sz w:val="21"/>
                <w:szCs w:val="21"/>
              </w:rPr>
              <w:t>建设控制地带（一类）：东、南各至保护范围外60米；西、北各至保护范围外50米。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94</w:t>
            </w:r>
          </w:p>
        </w:tc>
        <w:tc>
          <w:tcPr>
            <w:tcW w:w="846" w:type="dxa"/>
            <w:vAlign w:val="center"/>
          </w:tcPr>
          <w:p>
            <w:pPr>
              <w:spacing w:beforeLines="0" w:line="0" w:lineRule="atLeast"/>
              <w:ind w:left="0" w:leftChars="0"/>
              <w:jc w:val="left"/>
              <w:rPr>
                <w:sz w:val="21"/>
                <w:szCs w:val="21"/>
              </w:rPr>
            </w:pPr>
            <w:r>
              <w:rPr>
                <w:rFonts w:hint="eastAsia"/>
                <w:sz w:val="21"/>
                <w:szCs w:val="21"/>
              </w:rPr>
              <w:t>关帝庙</w:t>
            </w:r>
          </w:p>
        </w:tc>
        <w:tc>
          <w:tcPr>
            <w:tcW w:w="847" w:type="dxa"/>
            <w:vAlign w:val="center"/>
          </w:tcPr>
          <w:p>
            <w:pPr>
              <w:spacing w:beforeLines="0" w:line="0" w:lineRule="atLeast"/>
              <w:ind w:left="0" w:leftChars="0"/>
              <w:jc w:val="left"/>
              <w:rPr>
                <w:sz w:val="21"/>
                <w:szCs w:val="21"/>
              </w:rPr>
            </w:pPr>
            <w:r>
              <w:rPr>
                <w:rFonts w:hint="eastAsia"/>
                <w:sz w:val="21"/>
                <w:szCs w:val="21"/>
              </w:rPr>
              <w:t>明、清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介休市城东10千米洪山村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保护范围：东至庙围墙后墙以东1米；南至庙后墙以南2米；西至庙围墙后墙以西3米；北至戏台后墙以北3米。</w:t>
            </w:r>
          </w:p>
          <w:p>
            <w:pPr>
              <w:spacing w:beforeLines="0" w:line="0" w:lineRule="atLeast"/>
              <w:ind w:left="0" w:leftChars="0"/>
              <w:jc w:val="left"/>
              <w:rPr>
                <w:sz w:val="21"/>
                <w:szCs w:val="21"/>
              </w:rPr>
            </w:pPr>
            <w:r>
              <w:rPr>
                <w:rFonts w:hint="eastAsia"/>
                <w:sz w:val="21"/>
                <w:szCs w:val="21"/>
              </w:rPr>
              <w:t>建设控制地带（一类）：东至保护范围74米；南至保护范围外60米；西至保护范围外55米；北至保护范围外60米。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95</w:t>
            </w:r>
          </w:p>
        </w:tc>
        <w:tc>
          <w:tcPr>
            <w:tcW w:w="846" w:type="dxa"/>
            <w:vAlign w:val="center"/>
          </w:tcPr>
          <w:p>
            <w:pPr>
              <w:spacing w:beforeLines="0" w:line="0" w:lineRule="atLeast"/>
              <w:ind w:left="0" w:leftChars="0"/>
              <w:jc w:val="left"/>
              <w:rPr>
                <w:sz w:val="21"/>
                <w:szCs w:val="21"/>
              </w:rPr>
            </w:pPr>
            <w:r>
              <w:rPr>
                <w:rFonts w:hint="eastAsia"/>
                <w:sz w:val="21"/>
                <w:szCs w:val="21"/>
              </w:rPr>
              <w:t>王家祠堂</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灵石县城东12千米静升村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保护范围：东至祠堂东墙外8.5米，南至静升街内45米，西从祠堂西墙外至职中东墙，北至祠堂后墙外30米。</w:t>
            </w:r>
          </w:p>
          <w:p>
            <w:pPr>
              <w:spacing w:beforeLines="0" w:line="0" w:lineRule="atLeast"/>
              <w:ind w:left="0" w:leftChars="0"/>
              <w:jc w:val="left"/>
              <w:rPr>
                <w:sz w:val="21"/>
                <w:szCs w:val="21"/>
              </w:rPr>
            </w:pPr>
            <w:r>
              <w:rPr>
                <w:rFonts w:hint="eastAsia"/>
                <w:sz w:val="21"/>
                <w:szCs w:val="21"/>
              </w:rPr>
              <w:t>建设控制地带（一类）：东从保护范围外至文庙围墙外，南至保护范围外50米，西从保护范围外至职中西墙，北从保护范围外至高家崖围墙下。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96</w:t>
            </w:r>
          </w:p>
        </w:tc>
        <w:tc>
          <w:tcPr>
            <w:tcW w:w="846" w:type="dxa"/>
            <w:vAlign w:val="center"/>
          </w:tcPr>
          <w:p>
            <w:pPr>
              <w:spacing w:beforeLines="0" w:line="0" w:lineRule="atLeast"/>
              <w:ind w:left="0" w:leftChars="0"/>
              <w:jc w:val="left"/>
              <w:rPr>
                <w:sz w:val="21"/>
                <w:szCs w:val="21"/>
              </w:rPr>
            </w:pPr>
            <w:r>
              <w:rPr>
                <w:rFonts w:hint="eastAsia"/>
                <w:sz w:val="21"/>
                <w:szCs w:val="21"/>
              </w:rPr>
              <w:t>何氏宗祠</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灵石县城东13千米集广村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保护范围：东至祠堂东围墙外45米，南至祠堂台基外对面马路边14米，西至祠堂西围墙外22米，北至正殿后墙外30米。</w:t>
            </w:r>
          </w:p>
          <w:p>
            <w:pPr>
              <w:spacing w:beforeLines="0" w:line="0" w:lineRule="atLeast"/>
              <w:ind w:left="0" w:leftChars="0"/>
              <w:jc w:val="left"/>
              <w:rPr>
                <w:sz w:val="21"/>
                <w:szCs w:val="21"/>
              </w:rPr>
            </w:pPr>
            <w:r>
              <w:rPr>
                <w:rFonts w:hint="eastAsia"/>
                <w:sz w:val="21"/>
                <w:szCs w:val="21"/>
              </w:rPr>
              <w:t>建设控制地带（一类）：东、南、西、北保护范围外50米。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97</w:t>
            </w:r>
          </w:p>
        </w:tc>
        <w:tc>
          <w:tcPr>
            <w:tcW w:w="846" w:type="dxa"/>
            <w:vAlign w:val="center"/>
          </w:tcPr>
          <w:p>
            <w:pPr>
              <w:spacing w:beforeLines="0" w:line="0" w:lineRule="atLeast"/>
              <w:ind w:left="0" w:leftChars="0"/>
              <w:jc w:val="left"/>
              <w:rPr>
                <w:sz w:val="21"/>
                <w:szCs w:val="21"/>
              </w:rPr>
            </w:pPr>
            <w:r>
              <w:rPr>
                <w:rFonts w:hint="eastAsia"/>
                <w:sz w:val="21"/>
                <w:szCs w:val="21"/>
              </w:rPr>
              <w:t>文笔塔</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灵石县城东12千米静升村</w:t>
            </w:r>
          </w:p>
        </w:tc>
        <w:tc>
          <w:tcPr>
            <w:tcW w:w="5528" w:type="dxa"/>
            <w:vAlign w:val="center"/>
          </w:tcPr>
          <w:p>
            <w:pPr>
              <w:spacing w:beforeLines="0" w:line="0" w:lineRule="atLeast"/>
              <w:ind w:left="0" w:leftChars="0"/>
              <w:jc w:val="left"/>
              <w:rPr>
                <w:sz w:val="21"/>
                <w:szCs w:val="21"/>
              </w:rPr>
            </w:pPr>
            <w:r>
              <w:rPr>
                <w:rFonts w:hint="eastAsia"/>
                <w:sz w:val="21"/>
                <w:szCs w:val="21"/>
              </w:rPr>
              <w:t>保护范围：东至塔外12米，南至塔外15米，西至塔外20米，北至马路内20米。</w:t>
            </w:r>
          </w:p>
          <w:p>
            <w:pPr>
              <w:spacing w:beforeLines="0" w:line="0" w:lineRule="atLeast"/>
              <w:ind w:left="0" w:leftChars="0"/>
              <w:jc w:val="left"/>
              <w:rPr>
                <w:sz w:val="21"/>
                <w:szCs w:val="21"/>
              </w:rPr>
            </w:pPr>
            <w:r>
              <w:rPr>
                <w:rFonts w:hint="eastAsia"/>
                <w:sz w:val="21"/>
                <w:szCs w:val="21"/>
              </w:rPr>
              <w:t>建设控制地带（一类）：东、南、西、北保护范围外50米。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98</w:t>
            </w:r>
          </w:p>
        </w:tc>
        <w:tc>
          <w:tcPr>
            <w:tcW w:w="846" w:type="dxa"/>
            <w:vAlign w:val="center"/>
          </w:tcPr>
          <w:p>
            <w:pPr>
              <w:spacing w:beforeLines="0" w:line="0" w:lineRule="atLeast"/>
              <w:ind w:left="0" w:leftChars="0"/>
              <w:jc w:val="left"/>
              <w:rPr>
                <w:sz w:val="21"/>
                <w:szCs w:val="21"/>
              </w:rPr>
            </w:pPr>
            <w:r>
              <w:rPr>
                <w:rFonts w:hint="eastAsia"/>
                <w:sz w:val="21"/>
                <w:szCs w:val="21"/>
              </w:rPr>
              <w:t>天竺寺</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灵石县城东南45千米石膏山</w:t>
            </w:r>
          </w:p>
        </w:tc>
        <w:tc>
          <w:tcPr>
            <w:tcW w:w="5528" w:type="dxa"/>
            <w:vAlign w:val="center"/>
          </w:tcPr>
          <w:p>
            <w:pPr>
              <w:spacing w:beforeLines="0" w:line="0" w:lineRule="atLeast"/>
              <w:ind w:left="0" w:leftChars="0"/>
              <w:jc w:val="left"/>
              <w:rPr>
                <w:sz w:val="21"/>
                <w:szCs w:val="21"/>
              </w:rPr>
            </w:pPr>
            <w:r>
              <w:rPr>
                <w:rFonts w:hint="eastAsia"/>
                <w:sz w:val="21"/>
                <w:szCs w:val="21"/>
              </w:rPr>
              <w:t>保护范围：东至铁佛寺下岩，南至天竺寺以南50米，西至南天门，北至塔林。</w:t>
            </w:r>
          </w:p>
          <w:p>
            <w:pPr>
              <w:spacing w:beforeLines="0" w:line="0" w:lineRule="atLeast"/>
              <w:ind w:left="0" w:leftChars="0"/>
              <w:jc w:val="left"/>
              <w:rPr>
                <w:sz w:val="21"/>
                <w:szCs w:val="21"/>
              </w:rPr>
            </w:pPr>
            <w:r>
              <w:rPr>
                <w:rFonts w:hint="eastAsia"/>
                <w:sz w:val="21"/>
                <w:szCs w:val="21"/>
              </w:rPr>
              <w:t>建设控制地带（一类）：东、南、西、北保护范围外50米。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99</w:t>
            </w:r>
          </w:p>
        </w:tc>
        <w:tc>
          <w:tcPr>
            <w:tcW w:w="846" w:type="dxa"/>
            <w:vAlign w:val="center"/>
          </w:tcPr>
          <w:p>
            <w:pPr>
              <w:spacing w:beforeLines="0" w:line="0" w:lineRule="atLeast"/>
              <w:ind w:left="0" w:leftChars="0"/>
              <w:jc w:val="left"/>
              <w:rPr>
                <w:sz w:val="21"/>
                <w:szCs w:val="21"/>
              </w:rPr>
            </w:pPr>
            <w:r>
              <w:rPr>
                <w:rFonts w:hint="eastAsia"/>
                <w:sz w:val="21"/>
                <w:szCs w:val="21"/>
              </w:rPr>
              <w:t>灵石碑廊</w:t>
            </w:r>
          </w:p>
        </w:tc>
        <w:tc>
          <w:tcPr>
            <w:tcW w:w="847" w:type="dxa"/>
            <w:vAlign w:val="center"/>
          </w:tcPr>
          <w:p>
            <w:pPr>
              <w:spacing w:beforeLines="0" w:line="0" w:lineRule="atLeast"/>
              <w:ind w:left="0" w:leftChars="0"/>
              <w:jc w:val="left"/>
              <w:rPr>
                <w:sz w:val="21"/>
                <w:szCs w:val="21"/>
              </w:rPr>
            </w:pPr>
            <w:r>
              <w:rPr>
                <w:rFonts w:hint="eastAsia"/>
                <w:sz w:val="21"/>
                <w:szCs w:val="21"/>
              </w:rPr>
              <w:t>北魏至清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灵石县天石新城北灵石宾馆西侧</w:t>
            </w:r>
          </w:p>
        </w:tc>
        <w:tc>
          <w:tcPr>
            <w:tcW w:w="5528" w:type="dxa"/>
            <w:vAlign w:val="center"/>
          </w:tcPr>
          <w:p>
            <w:pPr>
              <w:spacing w:beforeLines="0" w:line="0" w:lineRule="atLeast"/>
              <w:ind w:left="0" w:leftChars="0"/>
              <w:jc w:val="left"/>
              <w:rPr>
                <w:sz w:val="21"/>
                <w:szCs w:val="21"/>
              </w:rPr>
            </w:pPr>
            <w:r>
              <w:rPr>
                <w:rFonts w:hint="eastAsia"/>
                <w:sz w:val="21"/>
                <w:szCs w:val="21"/>
              </w:rPr>
              <w:t>保护范围：北至灵石碑廊外28米，南至灵石碑廊47米（至大门），西至灵石碑廊外26米，东至公园东围墙。</w:t>
            </w:r>
          </w:p>
          <w:p>
            <w:pPr>
              <w:spacing w:beforeLines="0" w:line="0" w:lineRule="atLeast"/>
              <w:ind w:left="0" w:leftChars="0"/>
              <w:jc w:val="left"/>
              <w:rPr>
                <w:sz w:val="21"/>
                <w:szCs w:val="21"/>
              </w:rPr>
            </w:pPr>
            <w:r>
              <w:rPr>
                <w:rFonts w:hint="eastAsia"/>
                <w:sz w:val="21"/>
                <w:szCs w:val="21"/>
              </w:rPr>
              <w:t>建设控制地带（一类）：西至保护范围外100米，北至保护范围外沿汾河大堤到二小学操场，南至保护范围外迎宾路对面，东至招待所西围墙。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100</w:t>
            </w:r>
          </w:p>
        </w:tc>
        <w:tc>
          <w:tcPr>
            <w:tcW w:w="846" w:type="dxa"/>
            <w:vAlign w:val="center"/>
          </w:tcPr>
          <w:p>
            <w:pPr>
              <w:spacing w:beforeLines="0" w:line="0" w:lineRule="atLeast"/>
              <w:ind w:left="0" w:leftChars="0"/>
              <w:jc w:val="left"/>
              <w:rPr>
                <w:sz w:val="21"/>
                <w:szCs w:val="21"/>
              </w:rPr>
            </w:pPr>
            <w:r>
              <w:rPr>
                <w:rFonts w:hint="eastAsia"/>
                <w:sz w:val="21"/>
                <w:szCs w:val="21"/>
              </w:rPr>
              <w:t>寿圣寺</w:t>
            </w:r>
          </w:p>
        </w:tc>
        <w:tc>
          <w:tcPr>
            <w:tcW w:w="847" w:type="dxa"/>
            <w:vAlign w:val="center"/>
          </w:tcPr>
          <w:p>
            <w:pPr>
              <w:spacing w:beforeLines="0" w:line="0" w:lineRule="atLeast"/>
              <w:ind w:left="0" w:leftChars="0"/>
              <w:jc w:val="left"/>
              <w:rPr>
                <w:sz w:val="21"/>
                <w:szCs w:val="21"/>
              </w:rPr>
            </w:pPr>
            <w:r>
              <w:rPr>
                <w:rFonts w:hint="eastAsia"/>
                <w:sz w:val="21"/>
                <w:szCs w:val="21"/>
              </w:rPr>
              <w:t>明</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榆社县城东南15千米郝北村</w:t>
            </w:r>
          </w:p>
        </w:tc>
        <w:tc>
          <w:tcPr>
            <w:tcW w:w="5528" w:type="dxa"/>
            <w:vAlign w:val="center"/>
          </w:tcPr>
          <w:p>
            <w:pPr>
              <w:spacing w:beforeLines="0" w:line="0" w:lineRule="atLeast"/>
              <w:ind w:left="0" w:leftChars="0"/>
              <w:jc w:val="left"/>
              <w:rPr>
                <w:sz w:val="21"/>
                <w:szCs w:val="21"/>
              </w:rPr>
            </w:pPr>
            <w:r>
              <w:rPr>
                <w:rFonts w:hint="eastAsia"/>
                <w:sz w:val="21"/>
                <w:szCs w:val="21"/>
              </w:rPr>
              <w:t>保护范围：东、南、西、北各至围墙外5米。</w:t>
            </w:r>
          </w:p>
          <w:p>
            <w:pPr>
              <w:spacing w:beforeLines="0" w:line="0" w:lineRule="atLeast"/>
              <w:ind w:left="0" w:leftChars="0"/>
              <w:jc w:val="left"/>
              <w:rPr>
                <w:sz w:val="21"/>
                <w:szCs w:val="21"/>
              </w:rPr>
            </w:pPr>
            <w:r>
              <w:rPr>
                <w:rFonts w:hint="eastAsia"/>
                <w:sz w:val="21"/>
                <w:szCs w:val="21"/>
              </w:rPr>
              <w:t>建设控制地带（一类）：保护范围线外各15米。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101</w:t>
            </w:r>
          </w:p>
        </w:tc>
        <w:tc>
          <w:tcPr>
            <w:tcW w:w="846" w:type="dxa"/>
            <w:vAlign w:val="center"/>
          </w:tcPr>
          <w:p>
            <w:pPr>
              <w:spacing w:beforeLines="0" w:line="0" w:lineRule="atLeast"/>
              <w:ind w:left="0" w:leftChars="0"/>
              <w:jc w:val="left"/>
              <w:rPr>
                <w:sz w:val="21"/>
                <w:szCs w:val="21"/>
              </w:rPr>
            </w:pPr>
            <w:r>
              <w:rPr>
                <w:rFonts w:hint="eastAsia"/>
                <w:sz w:val="21"/>
                <w:szCs w:val="21"/>
              </w:rPr>
              <w:t>文峰塔</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榆社县连家庄</w:t>
            </w:r>
          </w:p>
        </w:tc>
        <w:tc>
          <w:tcPr>
            <w:tcW w:w="5528" w:type="dxa"/>
            <w:vAlign w:val="center"/>
          </w:tcPr>
          <w:p>
            <w:pPr>
              <w:spacing w:beforeLines="0" w:line="0" w:lineRule="atLeast"/>
              <w:ind w:left="0" w:leftChars="0"/>
              <w:jc w:val="left"/>
              <w:rPr>
                <w:sz w:val="21"/>
                <w:szCs w:val="21"/>
              </w:rPr>
            </w:pPr>
            <w:r>
              <w:rPr>
                <w:rFonts w:hint="eastAsia"/>
                <w:sz w:val="21"/>
                <w:szCs w:val="21"/>
              </w:rPr>
              <w:t>保护范围：东、南、西、北各至围墙外20米。</w:t>
            </w:r>
          </w:p>
          <w:p>
            <w:pPr>
              <w:spacing w:beforeLines="0" w:line="0" w:lineRule="atLeast"/>
              <w:ind w:left="0" w:leftChars="0"/>
              <w:jc w:val="left"/>
              <w:rPr>
                <w:sz w:val="21"/>
                <w:szCs w:val="21"/>
              </w:rPr>
            </w:pPr>
            <w:r>
              <w:rPr>
                <w:rFonts w:hint="eastAsia"/>
                <w:sz w:val="21"/>
                <w:szCs w:val="21"/>
              </w:rPr>
              <w:t>建设控制地带（一类）：保护范围线外各50米。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102</w:t>
            </w:r>
          </w:p>
        </w:tc>
        <w:tc>
          <w:tcPr>
            <w:tcW w:w="846" w:type="dxa"/>
            <w:vAlign w:val="center"/>
          </w:tcPr>
          <w:p>
            <w:pPr>
              <w:spacing w:beforeLines="0" w:line="0" w:lineRule="atLeast"/>
              <w:ind w:left="0" w:leftChars="0"/>
              <w:jc w:val="left"/>
              <w:rPr>
                <w:sz w:val="21"/>
                <w:szCs w:val="21"/>
              </w:rPr>
            </w:pPr>
            <w:r>
              <w:rPr>
                <w:rFonts w:hint="eastAsia"/>
                <w:sz w:val="21"/>
                <w:szCs w:val="21"/>
              </w:rPr>
              <w:t>钟鼓楼</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左权县城内大南街</w:t>
            </w:r>
          </w:p>
        </w:tc>
        <w:tc>
          <w:tcPr>
            <w:tcW w:w="5528" w:type="dxa"/>
            <w:vAlign w:val="center"/>
          </w:tcPr>
          <w:p>
            <w:pPr>
              <w:spacing w:beforeLines="0" w:line="0" w:lineRule="atLeast"/>
              <w:ind w:left="0" w:leftChars="0"/>
              <w:jc w:val="left"/>
              <w:rPr>
                <w:sz w:val="21"/>
                <w:szCs w:val="21"/>
              </w:rPr>
            </w:pPr>
            <w:r>
              <w:rPr>
                <w:rFonts w:hint="eastAsia"/>
                <w:sz w:val="21"/>
                <w:szCs w:val="21"/>
              </w:rPr>
              <w:t>保护范围：以钟鼓楼四周为起点各向外10米。</w:t>
            </w:r>
          </w:p>
          <w:p>
            <w:pPr>
              <w:spacing w:beforeLines="0" w:line="0" w:lineRule="atLeast"/>
              <w:ind w:left="0" w:leftChars="0"/>
              <w:jc w:val="left"/>
              <w:rPr>
                <w:sz w:val="21"/>
                <w:szCs w:val="21"/>
              </w:rPr>
            </w:pPr>
            <w:r>
              <w:rPr>
                <w:rFonts w:hint="eastAsia"/>
                <w:sz w:val="21"/>
                <w:szCs w:val="21"/>
              </w:rPr>
              <w:t>建设控制地带（一类）：东、南、西、北保护范围外40米。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103</w:t>
            </w:r>
          </w:p>
        </w:tc>
        <w:tc>
          <w:tcPr>
            <w:tcW w:w="846" w:type="dxa"/>
            <w:vAlign w:val="center"/>
          </w:tcPr>
          <w:p>
            <w:pPr>
              <w:spacing w:beforeLines="0" w:line="0" w:lineRule="atLeast"/>
              <w:ind w:left="0" w:leftChars="0"/>
              <w:jc w:val="left"/>
              <w:rPr>
                <w:sz w:val="21"/>
                <w:szCs w:val="21"/>
              </w:rPr>
            </w:pPr>
            <w:r>
              <w:rPr>
                <w:rFonts w:hint="eastAsia"/>
                <w:sz w:val="21"/>
                <w:szCs w:val="21"/>
              </w:rPr>
              <w:t>三元阁</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左权县城内辽阳街</w:t>
            </w:r>
          </w:p>
        </w:tc>
        <w:tc>
          <w:tcPr>
            <w:tcW w:w="5528" w:type="dxa"/>
            <w:vAlign w:val="center"/>
          </w:tcPr>
          <w:p>
            <w:pPr>
              <w:spacing w:beforeLines="0" w:line="0" w:lineRule="atLeast"/>
              <w:ind w:left="0" w:leftChars="0"/>
              <w:jc w:val="left"/>
              <w:rPr>
                <w:sz w:val="21"/>
                <w:szCs w:val="21"/>
              </w:rPr>
            </w:pPr>
            <w:r>
              <w:rPr>
                <w:rFonts w:hint="eastAsia"/>
                <w:sz w:val="21"/>
                <w:szCs w:val="21"/>
              </w:rPr>
              <w:t>保护范围：以三元阁四周为起点各向外10米。</w:t>
            </w:r>
          </w:p>
          <w:p>
            <w:pPr>
              <w:spacing w:beforeLines="0" w:line="0" w:lineRule="atLeast"/>
              <w:ind w:left="0" w:leftChars="0"/>
              <w:jc w:val="left"/>
              <w:rPr>
                <w:sz w:val="21"/>
                <w:szCs w:val="21"/>
              </w:rPr>
            </w:pPr>
            <w:r>
              <w:rPr>
                <w:rFonts w:hint="eastAsia"/>
                <w:sz w:val="21"/>
                <w:szCs w:val="21"/>
              </w:rPr>
              <w:t>建设控制地带（一类）：东、南、西、北保护范围外20米。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104</w:t>
            </w:r>
          </w:p>
        </w:tc>
        <w:tc>
          <w:tcPr>
            <w:tcW w:w="846" w:type="dxa"/>
            <w:vAlign w:val="center"/>
          </w:tcPr>
          <w:p>
            <w:pPr>
              <w:spacing w:beforeLines="0" w:line="0" w:lineRule="atLeast"/>
              <w:ind w:left="0" w:leftChars="0"/>
              <w:jc w:val="left"/>
              <w:rPr>
                <w:sz w:val="21"/>
                <w:szCs w:val="21"/>
              </w:rPr>
            </w:pPr>
            <w:r>
              <w:rPr>
                <w:rFonts w:hint="eastAsia"/>
                <w:sz w:val="21"/>
                <w:szCs w:val="21"/>
              </w:rPr>
              <w:t>礼拜堂</w:t>
            </w:r>
          </w:p>
        </w:tc>
        <w:tc>
          <w:tcPr>
            <w:tcW w:w="847" w:type="dxa"/>
            <w:vAlign w:val="center"/>
          </w:tcPr>
          <w:p>
            <w:pPr>
              <w:spacing w:beforeLines="0" w:line="0" w:lineRule="atLeast"/>
              <w:ind w:left="0" w:leftChars="0"/>
              <w:jc w:val="left"/>
              <w:rPr>
                <w:sz w:val="21"/>
                <w:szCs w:val="21"/>
              </w:rPr>
            </w:pPr>
            <w:r>
              <w:rPr>
                <w:rFonts w:hint="eastAsia"/>
                <w:sz w:val="21"/>
                <w:szCs w:val="21"/>
              </w:rPr>
              <w:t>1922年</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左权县城内辽阳街</w:t>
            </w:r>
          </w:p>
        </w:tc>
        <w:tc>
          <w:tcPr>
            <w:tcW w:w="5528" w:type="dxa"/>
            <w:vAlign w:val="center"/>
          </w:tcPr>
          <w:p>
            <w:pPr>
              <w:spacing w:beforeLines="0" w:line="0" w:lineRule="atLeast"/>
              <w:ind w:left="0" w:leftChars="0"/>
              <w:jc w:val="left"/>
              <w:rPr>
                <w:sz w:val="21"/>
                <w:szCs w:val="21"/>
              </w:rPr>
            </w:pPr>
            <w:r>
              <w:rPr>
                <w:rFonts w:hint="eastAsia"/>
                <w:sz w:val="21"/>
                <w:szCs w:val="21"/>
              </w:rPr>
              <w:t>保护范围：以礼拜堂四周为起点各向外10米。</w:t>
            </w:r>
          </w:p>
          <w:p>
            <w:pPr>
              <w:spacing w:beforeLines="0" w:line="0" w:lineRule="atLeast"/>
              <w:ind w:left="0" w:leftChars="0"/>
              <w:jc w:val="left"/>
              <w:rPr>
                <w:sz w:val="21"/>
                <w:szCs w:val="21"/>
              </w:rPr>
            </w:pPr>
            <w:r>
              <w:rPr>
                <w:rFonts w:hint="eastAsia"/>
                <w:sz w:val="21"/>
                <w:szCs w:val="21"/>
              </w:rPr>
              <w:t>建设控制地带（二类）：东、南、西、北保护范围外40米。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105</w:t>
            </w:r>
          </w:p>
        </w:tc>
        <w:tc>
          <w:tcPr>
            <w:tcW w:w="846" w:type="dxa"/>
            <w:vAlign w:val="center"/>
          </w:tcPr>
          <w:p>
            <w:pPr>
              <w:spacing w:beforeLines="0" w:line="0" w:lineRule="atLeast"/>
              <w:ind w:left="0" w:leftChars="0"/>
              <w:jc w:val="left"/>
              <w:rPr>
                <w:sz w:val="21"/>
                <w:szCs w:val="21"/>
              </w:rPr>
            </w:pPr>
            <w:r>
              <w:rPr>
                <w:rFonts w:hint="eastAsia"/>
                <w:sz w:val="21"/>
                <w:szCs w:val="21"/>
              </w:rPr>
              <w:t>晋冀鲁豫边区临时参议会旧址</w:t>
            </w:r>
          </w:p>
        </w:tc>
        <w:tc>
          <w:tcPr>
            <w:tcW w:w="847" w:type="dxa"/>
            <w:vAlign w:val="center"/>
          </w:tcPr>
          <w:p>
            <w:pPr>
              <w:spacing w:beforeLines="0" w:line="0" w:lineRule="atLeast"/>
              <w:ind w:left="0" w:leftChars="0"/>
              <w:jc w:val="left"/>
              <w:rPr>
                <w:sz w:val="21"/>
                <w:szCs w:val="21"/>
              </w:rPr>
            </w:pPr>
            <w:r>
              <w:rPr>
                <w:rFonts w:hint="eastAsia"/>
                <w:sz w:val="21"/>
                <w:szCs w:val="21"/>
              </w:rPr>
              <w:t>1941年</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左权县城南35千米桐峪村</w:t>
            </w:r>
          </w:p>
        </w:tc>
        <w:tc>
          <w:tcPr>
            <w:tcW w:w="5528" w:type="dxa"/>
            <w:vAlign w:val="center"/>
          </w:tcPr>
          <w:p>
            <w:pPr>
              <w:spacing w:beforeLines="0" w:line="0" w:lineRule="atLeast"/>
              <w:ind w:left="0" w:leftChars="0"/>
              <w:jc w:val="left"/>
              <w:rPr>
                <w:sz w:val="21"/>
                <w:szCs w:val="21"/>
              </w:rPr>
            </w:pPr>
            <w:r>
              <w:rPr>
                <w:rFonts w:hint="eastAsia"/>
                <w:sz w:val="21"/>
                <w:szCs w:val="21"/>
              </w:rPr>
              <w:t>保护范围：以四周围墙为起点各向外10米。</w:t>
            </w:r>
          </w:p>
          <w:p>
            <w:pPr>
              <w:spacing w:beforeLines="0" w:line="0" w:lineRule="atLeast"/>
              <w:ind w:left="0" w:leftChars="0"/>
              <w:jc w:val="left"/>
              <w:rPr>
                <w:sz w:val="21"/>
                <w:szCs w:val="21"/>
              </w:rPr>
            </w:pPr>
            <w:r>
              <w:rPr>
                <w:rFonts w:hint="eastAsia"/>
                <w:sz w:val="21"/>
                <w:szCs w:val="21"/>
              </w:rPr>
              <w:t>建设控制地带（一类）：东、南、西、北各至保护范围外40米。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106</w:t>
            </w:r>
          </w:p>
        </w:tc>
        <w:tc>
          <w:tcPr>
            <w:tcW w:w="846" w:type="dxa"/>
            <w:vAlign w:val="center"/>
          </w:tcPr>
          <w:p>
            <w:pPr>
              <w:spacing w:beforeLines="0" w:line="0" w:lineRule="atLeast"/>
              <w:ind w:left="0" w:leftChars="0"/>
              <w:jc w:val="left"/>
              <w:rPr>
                <w:sz w:val="21"/>
                <w:szCs w:val="21"/>
              </w:rPr>
            </w:pPr>
            <w:r>
              <w:rPr>
                <w:rFonts w:hint="eastAsia"/>
                <w:sz w:val="21"/>
                <w:szCs w:val="21"/>
              </w:rPr>
              <w:t>木牌坊</w:t>
            </w:r>
          </w:p>
        </w:tc>
        <w:tc>
          <w:tcPr>
            <w:tcW w:w="847" w:type="dxa"/>
            <w:vAlign w:val="center"/>
          </w:tcPr>
          <w:p>
            <w:pPr>
              <w:spacing w:beforeLines="0" w:line="0" w:lineRule="atLeast"/>
              <w:ind w:left="0" w:leftChars="0"/>
              <w:jc w:val="left"/>
              <w:rPr>
                <w:sz w:val="21"/>
                <w:szCs w:val="21"/>
              </w:rPr>
            </w:pPr>
            <w:r>
              <w:rPr>
                <w:rFonts w:hint="eastAsia"/>
                <w:sz w:val="21"/>
                <w:szCs w:val="21"/>
              </w:rPr>
              <w:t>明</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和顺县城中和街</w:t>
            </w:r>
          </w:p>
        </w:tc>
        <w:tc>
          <w:tcPr>
            <w:tcW w:w="5528" w:type="dxa"/>
            <w:vAlign w:val="center"/>
          </w:tcPr>
          <w:p>
            <w:pPr>
              <w:spacing w:beforeLines="0" w:line="0" w:lineRule="atLeast"/>
              <w:ind w:left="0" w:leftChars="0"/>
              <w:jc w:val="left"/>
              <w:rPr>
                <w:sz w:val="21"/>
                <w:szCs w:val="21"/>
              </w:rPr>
            </w:pPr>
            <w:r>
              <w:rPr>
                <w:rFonts w:hint="eastAsia"/>
                <w:sz w:val="21"/>
                <w:szCs w:val="21"/>
              </w:rPr>
              <w:t>保护范围：东、西、北各至木牌坊戗石外10米，南至石牌坊座墩外10米。</w:t>
            </w:r>
          </w:p>
          <w:p>
            <w:pPr>
              <w:spacing w:beforeLines="0" w:line="0" w:lineRule="atLeast"/>
              <w:ind w:left="0" w:leftChars="0"/>
              <w:jc w:val="left"/>
              <w:rPr>
                <w:sz w:val="21"/>
                <w:szCs w:val="21"/>
              </w:rPr>
            </w:pPr>
            <w:r>
              <w:rPr>
                <w:rFonts w:hint="eastAsia"/>
                <w:sz w:val="21"/>
                <w:szCs w:val="21"/>
              </w:rPr>
              <w:t>建设控制地带：（一类）东、南、西、北保护范围外22米。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107</w:t>
            </w:r>
          </w:p>
        </w:tc>
        <w:tc>
          <w:tcPr>
            <w:tcW w:w="846" w:type="dxa"/>
            <w:vAlign w:val="center"/>
          </w:tcPr>
          <w:p>
            <w:pPr>
              <w:spacing w:beforeLines="0" w:line="0" w:lineRule="atLeast"/>
              <w:ind w:left="0" w:leftChars="0"/>
              <w:jc w:val="left"/>
              <w:rPr>
                <w:sz w:val="21"/>
                <w:szCs w:val="21"/>
              </w:rPr>
            </w:pPr>
            <w:r>
              <w:rPr>
                <w:rFonts w:hint="eastAsia"/>
                <w:sz w:val="21"/>
                <w:szCs w:val="21"/>
              </w:rPr>
              <w:t>离相寺</w:t>
            </w:r>
          </w:p>
        </w:tc>
        <w:tc>
          <w:tcPr>
            <w:tcW w:w="847" w:type="dxa"/>
            <w:vAlign w:val="center"/>
          </w:tcPr>
          <w:p>
            <w:pPr>
              <w:spacing w:beforeLines="0" w:line="0" w:lineRule="atLeast"/>
              <w:ind w:left="0" w:leftChars="0"/>
              <w:jc w:val="left"/>
              <w:rPr>
                <w:sz w:val="21"/>
                <w:szCs w:val="21"/>
              </w:rPr>
            </w:pPr>
            <w:r>
              <w:rPr>
                <w:rFonts w:hint="eastAsia"/>
                <w:sz w:val="21"/>
                <w:szCs w:val="21"/>
              </w:rPr>
              <w:t>金</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昔阳县城东18千米川口村</w:t>
            </w:r>
          </w:p>
        </w:tc>
        <w:tc>
          <w:tcPr>
            <w:tcW w:w="5528" w:type="dxa"/>
            <w:vAlign w:val="center"/>
          </w:tcPr>
          <w:p>
            <w:pPr>
              <w:spacing w:beforeLines="0" w:line="0" w:lineRule="atLeast"/>
              <w:ind w:left="0" w:leftChars="0"/>
              <w:jc w:val="left"/>
              <w:rPr>
                <w:sz w:val="21"/>
                <w:szCs w:val="21"/>
              </w:rPr>
            </w:pPr>
            <w:r>
              <w:rPr>
                <w:rFonts w:hint="eastAsia"/>
                <w:sz w:val="21"/>
                <w:szCs w:val="21"/>
              </w:rPr>
              <w:t>保护范围：北至大殿后墙外14米；南至山门前墙外10米；东至东神房后墙外25米；西至西神房后墙外19米。</w:t>
            </w:r>
          </w:p>
          <w:p>
            <w:pPr>
              <w:spacing w:beforeLines="0" w:line="0" w:lineRule="atLeast"/>
              <w:ind w:left="0" w:leftChars="0"/>
              <w:jc w:val="left"/>
              <w:rPr>
                <w:sz w:val="21"/>
                <w:szCs w:val="21"/>
              </w:rPr>
            </w:pPr>
            <w:r>
              <w:rPr>
                <w:rFonts w:hint="eastAsia"/>
                <w:sz w:val="21"/>
                <w:szCs w:val="21"/>
              </w:rPr>
              <w:t>建设控制地带（一类）：北至大殿后墙外34米；南至山门前墙外60米；东至东神房后墙外45米；西至西神房后墙外39米。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108</w:t>
            </w:r>
          </w:p>
        </w:tc>
        <w:tc>
          <w:tcPr>
            <w:tcW w:w="846" w:type="dxa"/>
            <w:vAlign w:val="center"/>
          </w:tcPr>
          <w:p>
            <w:pPr>
              <w:spacing w:beforeLines="0" w:line="0" w:lineRule="atLeast"/>
              <w:ind w:left="0" w:leftChars="0"/>
              <w:jc w:val="left"/>
              <w:rPr>
                <w:sz w:val="21"/>
                <w:szCs w:val="21"/>
              </w:rPr>
            </w:pPr>
            <w:r>
              <w:rPr>
                <w:rFonts w:hint="eastAsia"/>
                <w:sz w:val="21"/>
                <w:szCs w:val="21"/>
              </w:rPr>
              <w:t>梵乘寺</w:t>
            </w:r>
          </w:p>
        </w:tc>
        <w:tc>
          <w:tcPr>
            <w:tcW w:w="847" w:type="dxa"/>
            <w:vAlign w:val="center"/>
          </w:tcPr>
          <w:p>
            <w:pPr>
              <w:spacing w:beforeLines="0" w:line="0" w:lineRule="atLeast"/>
              <w:ind w:left="0" w:leftChars="0"/>
              <w:jc w:val="left"/>
              <w:rPr>
                <w:sz w:val="21"/>
                <w:szCs w:val="21"/>
              </w:rPr>
            </w:pPr>
            <w:r>
              <w:rPr>
                <w:rFonts w:hint="eastAsia"/>
                <w:sz w:val="21"/>
                <w:szCs w:val="21"/>
              </w:rPr>
              <w:t>宋、元</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昔阳县城东15千米北界都村</w:t>
            </w:r>
          </w:p>
        </w:tc>
        <w:tc>
          <w:tcPr>
            <w:tcW w:w="5528" w:type="dxa"/>
            <w:vAlign w:val="center"/>
          </w:tcPr>
          <w:p>
            <w:pPr>
              <w:spacing w:beforeLines="0" w:line="0" w:lineRule="atLeast"/>
              <w:ind w:left="0" w:leftChars="0"/>
              <w:jc w:val="left"/>
              <w:rPr>
                <w:sz w:val="21"/>
                <w:szCs w:val="21"/>
              </w:rPr>
            </w:pPr>
            <w:r>
              <w:rPr>
                <w:rFonts w:hint="eastAsia"/>
                <w:sz w:val="21"/>
                <w:szCs w:val="21"/>
              </w:rPr>
              <w:t>保护范围：北至大殿后墙外10米；南至大门月台前墙外6.4米；东至东配殿后墙外30米；西至西配殿后墙外10米。</w:t>
            </w:r>
          </w:p>
          <w:p>
            <w:pPr>
              <w:spacing w:beforeLines="0" w:line="0" w:lineRule="atLeast"/>
              <w:ind w:left="0" w:leftChars="0"/>
              <w:jc w:val="left"/>
              <w:rPr>
                <w:sz w:val="21"/>
                <w:szCs w:val="21"/>
              </w:rPr>
            </w:pPr>
            <w:r>
              <w:rPr>
                <w:rFonts w:hint="eastAsia"/>
                <w:sz w:val="21"/>
                <w:szCs w:val="21"/>
              </w:rPr>
              <w:t>建设控制地带（一类）：北至大殿后墙外20米；南至大门月台前墙外100米；东至东配殿后墙外40米；西至西配殿后墙外35米。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ascii="Calibri" w:hAnsi="Calibri"/>
                <w:sz w:val="21"/>
                <w:szCs w:val="21"/>
              </w:rPr>
              <w:t>109</w:t>
            </w:r>
          </w:p>
        </w:tc>
        <w:tc>
          <w:tcPr>
            <w:tcW w:w="846" w:type="dxa"/>
            <w:vAlign w:val="center"/>
          </w:tcPr>
          <w:p>
            <w:pPr>
              <w:spacing w:beforeLines="0" w:line="0" w:lineRule="atLeast"/>
              <w:ind w:left="0" w:leftChars="0"/>
              <w:jc w:val="left"/>
              <w:rPr>
                <w:sz w:val="21"/>
                <w:szCs w:val="21"/>
              </w:rPr>
            </w:pPr>
            <w:r>
              <w:rPr>
                <w:rFonts w:hint="eastAsia"/>
                <w:sz w:val="21"/>
                <w:szCs w:val="21"/>
              </w:rPr>
              <w:t>福严寺</w:t>
            </w:r>
          </w:p>
        </w:tc>
        <w:tc>
          <w:tcPr>
            <w:tcW w:w="847" w:type="dxa"/>
            <w:vAlign w:val="center"/>
          </w:tcPr>
          <w:p>
            <w:pPr>
              <w:spacing w:beforeLines="0" w:line="0" w:lineRule="atLeast"/>
              <w:ind w:left="0" w:leftChars="0"/>
              <w:jc w:val="left"/>
              <w:rPr>
                <w:sz w:val="21"/>
                <w:szCs w:val="21"/>
              </w:rPr>
            </w:pPr>
            <w:r>
              <w:rPr>
                <w:rFonts w:hint="eastAsia"/>
                <w:sz w:val="21"/>
                <w:szCs w:val="21"/>
              </w:rPr>
              <w:t>元</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昔阳县城东18千米黄岩村</w:t>
            </w:r>
          </w:p>
        </w:tc>
        <w:tc>
          <w:tcPr>
            <w:tcW w:w="5528" w:type="dxa"/>
            <w:vAlign w:val="center"/>
          </w:tcPr>
          <w:p>
            <w:pPr>
              <w:spacing w:beforeLines="0" w:line="0" w:lineRule="atLeast"/>
              <w:ind w:left="0" w:leftChars="0"/>
              <w:jc w:val="left"/>
              <w:rPr>
                <w:sz w:val="21"/>
                <w:szCs w:val="21"/>
              </w:rPr>
            </w:pPr>
            <w:r>
              <w:rPr>
                <w:rFonts w:hint="eastAsia"/>
                <w:sz w:val="21"/>
                <w:szCs w:val="21"/>
              </w:rPr>
              <w:t>保护范围：北至大殿后墙外8米；南至现存南屋后墙外10米；东至东配殿后墙外12.6米；西至西配殿后墙外6米。</w:t>
            </w:r>
          </w:p>
          <w:p>
            <w:pPr>
              <w:spacing w:beforeLines="0" w:line="0" w:lineRule="atLeast"/>
              <w:ind w:left="0" w:leftChars="0"/>
              <w:jc w:val="left"/>
              <w:rPr>
                <w:sz w:val="21"/>
                <w:szCs w:val="21"/>
              </w:rPr>
            </w:pPr>
            <w:r>
              <w:rPr>
                <w:rFonts w:hint="eastAsia"/>
                <w:sz w:val="21"/>
                <w:szCs w:val="21"/>
              </w:rPr>
              <w:t>建设控制地带（一类）：北至大殿后墙外30米；南至现存南屋后墙外50米；东至东配殿后墙外32.6米；西至西配殿后墙外16米。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536" w:type="dxa"/>
            <w:vAlign w:val="center"/>
          </w:tcPr>
          <w:p>
            <w:pPr>
              <w:spacing w:beforeLines="0" w:line="0" w:lineRule="atLeast"/>
              <w:ind w:left="0" w:leftChars="0"/>
              <w:jc w:val="left"/>
              <w:rPr>
                <w:rFonts w:ascii="Calibri" w:hAnsi="Calibri"/>
                <w:sz w:val="21"/>
                <w:szCs w:val="21"/>
              </w:rPr>
            </w:pPr>
            <w:r>
              <w:rPr>
                <w:rFonts w:hint="eastAsia"/>
                <w:sz w:val="21"/>
                <w:szCs w:val="21"/>
              </w:rPr>
              <w:t>110</w:t>
            </w:r>
          </w:p>
        </w:tc>
        <w:tc>
          <w:tcPr>
            <w:tcW w:w="846" w:type="dxa"/>
            <w:vAlign w:val="center"/>
          </w:tcPr>
          <w:p>
            <w:pPr>
              <w:spacing w:beforeLines="0" w:line="0" w:lineRule="atLeast"/>
              <w:ind w:left="0" w:leftChars="0"/>
              <w:jc w:val="left"/>
              <w:rPr>
                <w:sz w:val="21"/>
                <w:szCs w:val="21"/>
              </w:rPr>
            </w:pPr>
            <w:r>
              <w:rPr>
                <w:rFonts w:hint="eastAsia"/>
                <w:sz w:val="21"/>
                <w:szCs w:val="21"/>
              </w:rPr>
              <w:t>文昌阁</w:t>
            </w:r>
          </w:p>
        </w:tc>
        <w:tc>
          <w:tcPr>
            <w:tcW w:w="847" w:type="dxa"/>
            <w:vAlign w:val="center"/>
          </w:tcPr>
          <w:p>
            <w:pPr>
              <w:spacing w:beforeLines="0" w:line="0" w:lineRule="atLeast"/>
              <w:ind w:left="0" w:leftChars="0"/>
              <w:jc w:val="left"/>
              <w:rPr>
                <w:sz w:val="21"/>
                <w:szCs w:val="21"/>
              </w:rPr>
            </w:pPr>
            <w:r>
              <w:rPr>
                <w:rFonts w:hint="eastAsia"/>
                <w:sz w:val="21"/>
                <w:szCs w:val="21"/>
              </w:rPr>
              <w:t>清</w:t>
            </w:r>
          </w:p>
        </w:tc>
        <w:tc>
          <w:tcPr>
            <w:tcW w:w="748" w:type="dxa"/>
            <w:vAlign w:val="center"/>
          </w:tcPr>
          <w:p>
            <w:pPr>
              <w:spacing w:beforeLines="0" w:line="0" w:lineRule="atLeast"/>
              <w:ind w:left="0" w:leftChars="0"/>
              <w:jc w:val="left"/>
              <w:rPr>
                <w:sz w:val="21"/>
                <w:szCs w:val="21"/>
              </w:rPr>
            </w:pPr>
            <w:r>
              <w:rPr>
                <w:rFonts w:hint="eastAsia"/>
                <w:sz w:val="21"/>
                <w:szCs w:val="21"/>
              </w:rPr>
              <w:t>市级</w:t>
            </w:r>
          </w:p>
        </w:tc>
        <w:tc>
          <w:tcPr>
            <w:tcW w:w="1134" w:type="dxa"/>
            <w:vAlign w:val="center"/>
          </w:tcPr>
          <w:p>
            <w:pPr>
              <w:spacing w:beforeLines="0" w:line="0" w:lineRule="atLeast"/>
              <w:ind w:left="0" w:leftChars="0"/>
              <w:jc w:val="left"/>
              <w:rPr>
                <w:sz w:val="21"/>
                <w:szCs w:val="21"/>
              </w:rPr>
            </w:pPr>
            <w:r>
              <w:rPr>
                <w:rFonts w:hint="eastAsia"/>
                <w:sz w:val="21"/>
                <w:szCs w:val="21"/>
              </w:rPr>
              <w:t>寿阳县城内东关街</w:t>
            </w:r>
          </w:p>
        </w:tc>
        <w:tc>
          <w:tcPr>
            <w:tcW w:w="5528" w:type="dxa"/>
            <w:vAlign w:val="center"/>
          </w:tcPr>
          <w:p>
            <w:pPr>
              <w:spacing w:beforeLines="0" w:line="0" w:lineRule="atLeast"/>
              <w:ind w:left="0" w:leftChars="0"/>
              <w:jc w:val="left"/>
              <w:rPr>
                <w:sz w:val="21"/>
                <w:szCs w:val="21"/>
              </w:rPr>
            </w:pPr>
            <w:r>
              <w:rPr>
                <w:rFonts w:hint="eastAsia"/>
                <w:sz w:val="21"/>
                <w:szCs w:val="21"/>
              </w:rPr>
              <w:t>保护范围：东至文昌阁东檐外15米，南至文昌阁南檐外6米，西至文昌阁西檐外15米，北至文化馆门楼外檐。</w:t>
            </w:r>
          </w:p>
          <w:p>
            <w:pPr>
              <w:spacing w:beforeLines="0" w:line="0" w:lineRule="atLeast"/>
              <w:ind w:left="0" w:leftChars="0"/>
              <w:jc w:val="left"/>
              <w:rPr>
                <w:sz w:val="21"/>
                <w:szCs w:val="21"/>
              </w:rPr>
            </w:pPr>
            <w:r>
              <w:rPr>
                <w:rFonts w:hint="eastAsia"/>
                <w:sz w:val="21"/>
                <w:szCs w:val="21"/>
              </w:rPr>
              <w:t>建设控制地带（一类）：东至文昌阁东檐外30米，南至文昌阁南檐外12米，西至文昌阁西檐外20米，北至文化馆门楼外檐。</w:t>
            </w:r>
          </w:p>
        </w:tc>
      </w:tr>
    </w:tbl>
    <w:p>
      <w:pPr>
        <w:pStyle w:val="126"/>
        <w:spacing w:before="156" w:after="156"/>
        <w:sectPr>
          <w:pgSz w:w="11906" w:h="16838"/>
          <w:pgMar w:top="1440" w:right="1800" w:bottom="1440" w:left="1800" w:header="851" w:footer="992" w:gutter="0"/>
          <w:cols w:space="425" w:num="1"/>
          <w:docGrid w:type="lines" w:linePitch="312" w:charSpace="0"/>
        </w:sectPr>
      </w:pPr>
    </w:p>
    <w:p>
      <w:pPr>
        <w:pStyle w:val="3"/>
        <w:spacing w:before="156" w:after="156"/>
        <w:rPr>
          <w:rFonts w:ascii="Arial" w:hAnsi="Arial"/>
        </w:rPr>
      </w:pPr>
      <w:bookmarkStart w:id="378" w:name="_Toc492850150"/>
      <w:r>
        <w:rPr>
          <w:rFonts w:hint="eastAsia" w:ascii="Arial" w:hAnsi="Arial"/>
        </w:rPr>
        <w:t>附表11：</w:t>
      </w:r>
      <w:r>
        <w:rPr>
          <w:rFonts w:ascii="Arial" w:hAnsi="Arial"/>
        </w:rPr>
        <w:t>中心城区重要交通设施规划一览表</w:t>
      </w:r>
      <w:bookmarkEnd w:id="378"/>
    </w:p>
    <w:tbl>
      <w:tblPr>
        <w:tblStyle w:val="56"/>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5"/>
        <w:gridCol w:w="1578"/>
        <w:gridCol w:w="1276"/>
        <w:gridCol w:w="1134"/>
        <w:gridCol w:w="40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2093" w:type="dxa"/>
            <w:gridSpan w:val="2"/>
          </w:tcPr>
          <w:p>
            <w:pPr>
              <w:spacing w:beforeLines="0" w:line="0" w:lineRule="atLeast"/>
              <w:ind w:left="0" w:leftChars="0" w:firstLine="0" w:firstLineChars="0"/>
              <w:rPr>
                <w:b/>
                <w:sz w:val="21"/>
                <w:szCs w:val="21"/>
              </w:rPr>
            </w:pPr>
            <w:r>
              <w:rPr>
                <w:b/>
                <w:sz w:val="21"/>
                <w:szCs w:val="21"/>
              </w:rPr>
              <w:t>类别</w:t>
            </w:r>
          </w:p>
        </w:tc>
        <w:tc>
          <w:tcPr>
            <w:tcW w:w="2410" w:type="dxa"/>
            <w:gridSpan w:val="2"/>
          </w:tcPr>
          <w:p>
            <w:pPr>
              <w:spacing w:beforeLines="0" w:line="0" w:lineRule="atLeast"/>
              <w:ind w:left="0" w:leftChars="0" w:firstLine="0" w:firstLineChars="0"/>
              <w:rPr>
                <w:b/>
                <w:sz w:val="21"/>
                <w:szCs w:val="21"/>
              </w:rPr>
            </w:pPr>
            <w:r>
              <w:rPr>
                <w:b/>
                <w:sz w:val="21"/>
                <w:szCs w:val="21"/>
              </w:rPr>
              <w:t>规划内容</w:t>
            </w:r>
          </w:p>
        </w:tc>
        <w:tc>
          <w:tcPr>
            <w:tcW w:w="4019" w:type="dxa"/>
          </w:tcPr>
          <w:p>
            <w:pPr>
              <w:spacing w:beforeLines="0" w:line="0" w:lineRule="atLeast"/>
              <w:ind w:left="0" w:leftChars="0" w:firstLine="0" w:firstLineChars="0"/>
              <w:rPr>
                <w:b/>
                <w:sz w:val="21"/>
                <w:szCs w:val="21"/>
              </w:rPr>
            </w:pPr>
            <w:r>
              <w:rPr>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restart"/>
          </w:tcPr>
          <w:p>
            <w:pPr>
              <w:spacing w:beforeLines="0" w:line="0" w:lineRule="atLeast"/>
              <w:ind w:left="0" w:leftChars="0" w:firstLine="0" w:firstLineChars="0"/>
              <w:rPr>
                <w:b/>
                <w:sz w:val="21"/>
                <w:szCs w:val="21"/>
              </w:rPr>
            </w:pPr>
            <w:r>
              <w:rPr>
                <w:b/>
                <w:sz w:val="21"/>
                <w:szCs w:val="21"/>
              </w:rPr>
              <w:t>对外交通</w:t>
            </w:r>
          </w:p>
        </w:tc>
        <w:tc>
          <w:tcPr>
            <w:tcW w:w="1578" w:type="dxa"/>
            <w:vMerge w:val="restart"/>
          </w:tcPr>
          <w:p>
            <w:pPr>
              <w:spacing w:beforeLines="0" w:line="0" w:lineRule="atLeast"/>
              <w:ind w:left="0" w:leftChars="0" w:firstLine="0" w:firstLineChars="0"/>
              <w:rPr>
                <w:sz w:val="21"/>
                <w:szCs w:val="21"/>
              </w:rPr>
            </w:pPr>
            <w:r>
              <w:rPr>
                <w:sz w:val="21"/>
                <w:szCs w:val="21"/>
              </w:rPr>
              <w:t>铁路枢纽</w:t>
            </w:r>
          </w:p>
        </w:tc>
        <w:tc>
          <w:tcPr>
            <w:tcW w:w="2410" w:type="dxa"/>
            <w:gridSpan w:val="2"/>
          </w:tcPr>
          <w:p>
            <w:pPr>
              <w:spacing w:beforeLines="0" w:line="0" w:lineRule="atLeast"/>
              <w:ind w:left="0" w:leftChars="0" w:firstLine="0" w:firstLineChars="0"/>
              <w:rPr>
                <w:sz w:val="21"/>
                <w:szCs w:val="21"/>
              </w:rPr>
            </w:pPr>
            <w:r>
              <w:rPr>
                <w:sz w:val="21"/>
                <w:szCs w:val="21"/>
              </w:rPr>
              <w:t>太原铁路枢纽西南环线、太原至兴县铁路</w:t>
            </w:r>
          </w:p>
        </w:tc>
        <w:tc>
          <w:tcPr>
            <w:tcW w:w="4019" w:type="dxa"/>
            <w:vMerge w:val="restart"/>
          </w:tcPr>
          <w:p>
            <w:pPr>
              <w:spacing w:beforeLines="0" w:line="0" w:lineRule="atLeast"/>
              <w:ind w:left="0" w:leftChars="0" w:firstLine="0" w:firstLineChars="0"/>
              <w:rPr>
                <w:sz w:val="21"/>
                <w:szCs w:val="21"/>
              </w:rPr>
            </w:pPr>
            <w:r>
              <w:rPr>
                <w:sz w:val="21"/>
                <w:szCs w:val="21"/>
              </w:rPr>
              <w:t>晋中站办理太中银线、大西客专、枢纽环线旅客列车的停站通过作业；榆次站维持现有功能，即办理石太线、南同蒲线、太焦线旅客列车的停站通过作业。</w:t>
            </w:r>
          </w:p>
          <w:p>
            <w:pPr>
              <w:spacing w:beforeLines="0" w:line="0" w:lineRule="atLeast"/>
              <w:ind w:left="0" w:leftChars="0" w:firstLine="0" w:firstLineChars="0"/>
              <w:rPr>
                <w:sz w:val="21"/>
                <w:szCs w:val="21"/>
              </w:rPr>
            </w:pPr>
            <w:r>
              <w:rPr>
                <w:sz w:val="21"/>
                <w:szCs w:val="21"/>
              </w:rPr>
              <w:t>北六堡站为以办理集装箱作业为主、兼营其它白货作业的综合性货场；修文站为枢纽内办理黑货业务的主要场站。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b/>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“两客”：晋中站、榆次站</w:t>
            </w:r>
          </w:p>
        </w:tc>
        <w:tc>
          <w:tcPr>
            <w:tcW w:w="4019" w:type="dxa"/>
            <w:vMerge w:val="continue"/>
          </w:tcPr>
          <w:p>
            <w:pPr>
              <w:spacing w:beforeLines="0" w:line="0" w:lineRule="atLeast"/>
              <w:ind w:left="0" w:leftChars="0"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b/>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“两货”：北六堡站、修文站</w:t>
            </w:r>
          </w:p>
        </w:tc>
        <w:tc>
          <w:tcPr>
            <w:tcW w:w="4019" w:type="dxa"/>
            <w:vMerge w:val="continue"/>
          </w:tcPr>
          <w:p>
            <w:pPr>
              <w:spacing w:beforeLines="0" w:line="0" w:lineRule="atLeast"/>
              <w:ind w:left="0" w:leftChars="0"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b/>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“一编组”：榆次编组站</w:t>
            </w:r>
          </w:p>
        </w:tc>
        <w:tc>
          <w:tcPr>
            <w:tcW w:w="4019" w:type="dxa"/>
            <w:vMerge w:val="continue"/>
          </w:tcPr>
          <w:p>
            <w:pPr>
              <w:spacing w:beforeLines="0" w:line="0" w:lineRule="atLeast"/>
              <w:ind w:left="0" w:leftChars="0"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b/>
                <w:sz w:val="21"/>
                <w:szCs w:val="21"/>
              </w:rPr>
            </w:pPr>
          </w:p>
        </w:tc>
        <w:tc>
          <w:tcPr>
            <w:tcW w:w="1578" w:type="dxa"/>
            <w:vMerge w:val="restart"/>
          </w:tcPr>
          <w:p>
            <w:pPr>
              <w:spacing w:beforeLines="0" w:line="0" w:lineRule="atLeast"/>
              <w:ind w:left="0" w:leftChars="0" w:firstLine="0" w:firstLineChars="0"/>
              <w:rPr>
                <w:sz w:val="21"/>
                <w:szCs w:val="21"/>
              </w:rPr>
            </w:pPr>
            <w:r>
              <w:rPr>
                <w:sz w:val="21"/>
                <w:szCs w:val="21"/>
              </w:rPr>
              <w:t>公路枢纽</w:t>
            </w:r>
            <w:r>
              <w:rPr>
                <w:rFonts w:hint="eastAsia"/>
                <w:sz w:val="21"/>
                <w:szCs w:val="21"/>
              </w:rPr>
              <w:t>（</w:t>
            </w:r>
            <w:r>
              <w:rPr>
                <w:sz w:val="21"/>
                <w:szCs w:val="21"/>
              </w:rPr>
              <w:t>5</w:t>
            </w:r>
            <w:r>
              <w:rPr>
                <w:rFonts w:hint="eastAsia"/>
                <w:sz w:val="21"/>
                <w:szCs w:val="21"/>
              </w:rPr>
              <w:t>个）</w:t>
            </w:r>
          </w:p>
        </w:tc>
        <w:tc>
          <w:tcPr>
            <w:tcW w:w="2410" w:type="dxa"/>
            <w:gridSpan w:val="2"/>
          </w:tcPr>
          <w:p>
            <w:pPr>
              <w:spacing w:beforeLines="0" w:line="0" w:lineRule="atLeast"/>
              <w:ind w:left="0" w:leftChars="0" w:firstLine="0" w:firstLineChars="0"/>
              <w:rPr>
                <w:sz w:val="21"/>
                <w:szCs w:val="21"/>
              </w:rPr>
            </w:pPr>
            <w:r>
              <w:rPr>
                <w:sz w:val="21"/>
                <w:szCs w:val="21"/>
              </w:rPr>
              <w:t>城北客运站</w:t>
            </w:r>
          </w:p>
        </w:tc>
        <w:tc>
          <w:tcPr>
            <w:tcW w:w="4019" w:type="dxa"/>
          </w:tcPr>
          <w:p>
            <w:pPr>
              <w:spacing w:beforeLines="0" w:line="0" w:lineRule="atLeast"/>
              <w:ind w:left="0" w:leftChars="0" w:firstLine="0" w:firstLineChars="0"/>
              <w:rPr>
                <w:sz w:val="21"/>
                <w:szCs w:val="21"/>
              </w:rPr>
            </w:pPr>
            <w:r>
              <w:rPr>
                <w:sz w:val="21"/>
                <w:szCs w:val="21"/>
              </w:rPr>
              <w:t>中心城区发往北向、东向等跨省和跨地市的中、长途公路客运班线的主要站场</w:t>
            </w:r>
            <w:r>
              <w:rPr>
                <w:rFonts w:hint="eastAsia"/>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b/>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城南客运站</w:t>
            </w:r>
          </w:p>
        </w:tc>
        <w:tc>
          <w:tcPr>
            <w:tcW w:w="4019" w:type="dxa"/>
          </w:tcPr>
          <w:p>
            <w:pPr>
              <w:spacing w:beforeLines="0" w:line="0" w:lineRule="atLeast"/>
              <w:ind w:left="0" w:leftChars="0" w:firstLine="0" w:firstLineChars="0"/>
              <w:rPr>
                <w:sz w:val="21"/>
                <w:szCs w:val="21"/>
              </w:rPr>
            </w:pPr>
            <w:r>
              <w:rPr>
                <w:sz w:val="21"/>
                <w:szCs w:val="21"/>
              </w:rPr>
              <w:t>主要发送中心城区至南向、东南向、西向等跨省和跨地市的中、长途公路客运班线。晋中中心城区的旅游集散中心</w:t>
            </w:r>
            <w:r>
              <w:rPr>
                <w:rFonts w:hint="eastAsia"/>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b/>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晋中站客运站</w:t>
            </w:r>
          </w:p>
        </w:tc>
        <w:tc>
          <w:tcPr>
            <w:tcW w:w="4019" w:type="dxa"/>
          </w:tcPr>
          <w:p>
            <w:pPr>
              <w:spacing w:beforeLines="0" w:line="0" w:lineRule="atLeast"/>
              <w:ind w:left="0" w:leftChars="0" w:firstLine="0" w:firstLineChars="0"/>
              <w:rPr>
                <w:sz w:val="21"/>
                <w:szCs w:val="21"/>
              </w:rPr>
            </w:pPr>
            <w:r>
              <w:rPr>
                <w:sz w:val="21"/>
                <w:szCs w:val="21"/>
              </w:rPr>
              <w:t>公铁联运，主要发送至市域各县及太原盆地城镇密集区的中短途公路客运班线。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b/>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城东客运站</w:t>
            </w:r>
          </w:p>
        </w:tc>
        <w:tc>
          <w:tcPr>
            <w:tcW w:w="4019" w:type="dxa"/>
          </w:tcPr>
          <w:p>
            <w:pPr>
              <w:spacing w:beforeLines="0" w:line="0" w:lineRule="atLeast"/>
              <w:ind w:left="0" w:leftChars="0" w:firstLine="0" w:firstLineChars="0"/>
              <w:rPr>
                <w:sz w:val="21"/>
                <w:szCs w:val="21"/>
              </w:rPr>
            </w:pPr>
            <w:r>
              <w:rPr>
                <w:sz w:val="21"/>
                <w:szCs w:val="21"/>
              </w:rPr>
              <w:t>主要发送中心城区至东南向及部分东向跨省和跨地市的中、长途公路客运班线。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2" w:firstLineChars="200"/>
              <w:rPr>
                <w:b/>
                <w:sz w:val="21"/>
                <w:szCs w:val="21"/>
              </w:rPr>
            </w:pPr>
          </w:p>
        </w:tc>
        <w:tc>
          <w:tcPr>
            <w:tcW w:w="1578" w:type="dxa"/>
            <w:vMerge w:val="continue"/>
          </w:tcPr>
          <w:p>
            <w:pPr>
              <w:spacing w:beforeLines="0" w:line="0" w:lineRule="atLeast"/>
              <w:ind w:left="0" w:leftChars="0" w:firstLine="420" w:firstLineChars="20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潇河公路客运站</w:t>
            </w:r>
          </w:p>
        </w:tc>
        <w:tc>
          <w:tcPr>
            <w:tcW w:w="4019" w:type="dxa"/>
          </w:tcPr>
          <w:p>
            <w:pPr>
              <w:spacing w:beforeLines="0" w:line="0" w:lineRule="atLeast"/>
              <w:ind w:left="-2" w:leftChars="-1" w:firstLine="1" w:firstLineChars="0"/>
              <w:rPr>
                <w:sz w:val="21"/>
                <w:szCs w:val="21"/>
              </w:rPr>
            </w:pPr>
            <w:r>
              <w:rPr>
                <w:rFonts w:hint="eastAsia"/>
                <w:sz w:val="21"/>
                <w:szCs w:val="21"/>
              </w:rPr>
              <w:t>通过小牛街快速路、铁西路衔接对外道路，主要服务潇河组团，发送至太原向、东南向及部分东向的中短途公路客运班线。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b/>
                <w:sz w:val="21"/>
                <w:szCs w:val="21"/>
              </w:rPr>
            </w:pPr>
          </w:p>
        </w:tc>
        <w:tc>
          <w:tcPr>
            <w:tcW w:w="1578" w:type="dxa"/>
            <w:vMerge w:val="restart"/>
          </w:tcPr>
          <w:p>
            <w:pPr>
              <w:spacing w:beforeLines="0" w:line="0" w:lineRule="atLeast"/>
              <w:ind w:left="0" w:leftChars="0" w:firstLine="0" w:firstLineChars="0"/>
              <w:rPr>
                <w:sz w:val="21"/>
                <w:szCs w:val="21"/>
              </w:rPr>
            </w:pPr>
            <w:r>
              <w:rPr>
                <w:sz w:val="21"/>
                <w:szCs w:val="21"/>
              </w:rPr>
              <w:t>物流中心</w:t>
            </w:r>
            <w:r>
              <w:rPr>
                <w:rFonts w:hint="eastAsia"/>
                <w:sz w:val="21"/>
                <w:szCs w:val="21"/>
              </w:rPr>
              <w:t>（3个）</w:t>
            </w:r>
          </w:p>
        </w:tc>
        <w:tc>
          <w:tcPr>
            <w:tcW w:w="2410" w:type="dxa"/>
            <w:gridSpan w:val="2"/>
          </w:tcPr>
          <w:p>
            <w:pPr>
              <w:spacing w:beforeLines="0" w:line="0" w:lineRule="atLeast"/>
              <w:ind w:left="0" w:leftChars="0" w:firstLine="0" w:firstLineChars="0"/>
              <w:rPr>
                <w:sz w:val="21"/>
                <w:szCs w:val="21"/>
              </w:rPr>
            </w:pPr>
            <w:r>
              <w:rPr>
                <w:sz w:val="21"/>
                <w:szCs w:val="21"/>
              </w:rPr>
              <w:t>北六堡区域性综合物流园区</w:t>
            </w:r>
          </w:p>
        </w:tc>
        <w:tc>
          <w:tcPr>
            <w:tcW w:w="4019" w:type="dxa"/>
          </w:tcPr>
          <w:p>
            <w:pPr>
              <w:spacing w:beforeLines="0" w:line="0" w:lineRule="atLeast"/>
              <w:ind w:left="0" w:leftChars="0" w:firstLine="0" w:firstLineChars="0"/>
              <w:rPr>
                <w:sz w:val="21"/>
                <w:szCs w:val="21"/>
              </w:rPr>
            </w:pPr>
            <w:r>
              <w:rPr>
                <w:sz w:val="21"/>
                <w:szCs w:val="21"/>
              </w:rPr>
              <w:t>综合性、枢纽型物流园区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b/>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修文煤焦专业化物流中心</w:t>
            </w:r>
          </w:p>
        </w:tc>
        <w:tc>
          <w:tcPr>
            <w:tcW w:w="4019" w:type="dxa"/>
          </w:tcPr>
          <w:p>
            <w:pPr>
              <w:spacing w:beforeLines="0" w:line="0" w:lineRule="atLeast"/>
              <w:ind w:left="0" w:leftChars="0" w:firstLine="0" w:firstLineChars="0"/>
              <w:rPr>
                <w:sz w:val="21"/>
                <w:szCs w:val="21"/>
              </w:rPr>
            </w:pPr>
            <w:r>
              <w:rPr>
                <w:sz w:val="21"/>
                <w:szCs w:val="21"/>
              </w:rPr>
              <w:t>专业物流中心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b/>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城东地区性物流中心</w:t>
            </w:r>
          </w:p>
        </w:tc>
        <w:tc>
          <w:tcPr>
            <w:tcW w:w="4019" w:type="dxa"/>
          </w:tcPr>
          <w:p>
            <w:pPr>
              <w:spacing w:beforeLines="0" w:line="0" w:lineRule="atLeast"/>
              <w:ind w:left="0" w:leftChars="0" w:firstLine="0" w:firstLineChars="0"/>
              <w:rPr>
                <w:sz w:val="21"/>
                <w:szCs w:val="21"/>
              </w:rPr>
            </w:pPr>
            <w:r>
              <w:rPr>
                <w:sz w:val="21"/>
                <w:szCs w:val="21"/>
              </w:rPr>
              <w:t>晋中中心城区生活物资运输、中转及配送等业务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restart"/>
          </w:tcPr>
          <w:p>
            <w:pPr>
              <w:spacing w:beforeLines="0" w:line="0" w:lineRule="atLeast"/>
              <w:ind w:left="0" w:leftChars="0" w:firstLine="0" w:firstLineChars="0"/>
              <w:rPr>
                <w:b/>
                <w:sz w:val="21"/>
                <w:szCs w:val="21"/>
              </w:rPr>
            </w:pPr>
            <w:r>
              <w:rPr>
                <w:b/>
                <w:sz w:val="21"/>
                <w:szCs w:val="21"/>
              </w:rPr>
              <w:t>城市道路</w:t>
            </w:r>
          </w:p>
        </w:tc>
        <w:tc>
          <w:tcPr>
            <w:tcW w:w="1578" w:type="dxa"/>
            <w:vMerge w:val="restart"/>
          </w:tcPr>
          <w:p>
            <w:pPr>
              <w:spacing w:beforeLines="0" w:line="0" w:lineRule="atLeast"/>
              <w:ind w:left="0" w:leftChars="0" w:firstLine="0" w:firstLineChars="0"/>
              <w:rPr>
                <w:sz w:val="21"/>
                <w:szCs w:val="21"/>
              </w:rPr>
            </w:pPr>
            <w:r>
              <w:rPr>
                <w:sz w:val="21"/>
                <w:szCs w:val="21"/>
              </w:rPr>
              <w:t>快速路</w:t>
            </w:r>
          </w:p>
        </w:tc>
        <w:tc>
          <w:tcPr>
            <w:tcW w:w="6429" w:type="dxa"/>
            <w:gridSpan w:val="3"/>
          </w:tcPr>
          <w:p>
            <w:pPr>
              <w:spacing w:beforeLines="0" w:line="0" w:lineRule="atLeast"/>
              <w:ind w:left="0" w:leftChars="0" w:firstLine="0" w:firstLineChars="0"/>
              <w:rPr>
                <w:sz w:val="21"/>
                <w:szCs w:val="21"/>
              </w:rPr>
            </w:pPr>
            <w:r>
              <w:rPr>
                <w:sz w:val="21"/>
                <w:szCs w:val="21"/>
              </w:rPr>
              <w:t>“</w:t>
            </w:r>
            <w:r>
              <w:rPr>
                <w:rFonts w:hint="eastAsia"/>
                <w:sz w:val="21"/>
                <w:szCs w:val="21"/>
              </w:rPr>
              <w:t>四</w:t>
            </w:r>
            <w:r>
              <w:rPr>
                <w:sz w:val="21"/>
                <w:szCs w:val="21"/>
              </w:rPr>
              <w:t>横”:太</w:t>
            </w:r>
            <w:r>
              <w:rPr>
                <w:rFonts w:hint="eastAsia"/>
                <w:sz w:val="21"/>
                <w:szCs w:val="21"/>
              </w:rPr>
              <w:t>旧快速路、龙湖街、环城南路、小牛街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6429" w:type="dxa"/>
            <w:gridSpan w:val="3"/>
          </w:tcPr>
          <w:p>
            <w:pPr>
              <w:spacing w:beforeLines="0" w:line="0" w:lineRule="atLeast"/>
              <w:ind w:left="0" w:leftChars="0" w:firstLine="0" w:firstLineChars="0"/>
              <w:rPr>
                <w:sz w:val="21"/>
                <w:szCs w:val="21"/>
              </w:rPr>
            </w:pPr>
            <w:r>
              <w:rPr>
                <w:sz w:val="21"/>
                <w:szCs w:val="21"/>
              </w:rPr>
              <w:t>“三纵”即综合通道、汇通路、环城东路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restart"/>
          </w:tcPr>
          <w:p>
            <w:pPr>
              <w:spacing w:beforeLines="0" w:line="0" w:lineRule="atLeast"/>
              <w:ind w:left="0" w:leftChars="0" w:firstLine="0" w:firstLineChars="0"/>
              <w:rPr>
                <w:sz w:val="21"/>
                <w:szCs w:val="21"/>
              </w:rPr>
            </w:pPr>
            <w:r>
              <w:rPr>
                <w:sz w:val="21"/>
                <w:szCs w:val="21"/>
              </w:rPr>
              <w:t>主干路</w:t>
            </w:r>
          </w:p>
        </w:tc>
        <w:tc>
          <w:tcPr>
            <w:tcW w:w="6429" w:type="dxa"/>
            <w:gridSpan w:val="3"/>
          </w:tcPr>
          <w:p>
            <w:pPr>
              <w:spacing w:beforeLines="0" w:line="0" w:lineRule="atLeast"/>
              <w:ind w:left="0" w:leftChars="0" w:firstLine="0" w:firstLineChars="0"/>
              <w:rPr>
                <w:sz w:val="21"/>
                <w:szCs w:val="21"/>
              </w:rPr>
            </w:pPr>
            <w:r>
              <w:rPr>
                <w:sz w:val="21"/>
                <w:szCs w:val="21"/>
              </w:rPr>
              <w:t>“十七纵”为：</w:t>
            </w:r>
            <w:r>
              <w:rPr>
                <w:rFonts w:hint="eastAsia"/>
                <w:sz w:val="21"/>
                <w:szCs w:val="21"/>
              </w:rPr>
              <w:t>锦纶路—锦纶北路、中都路、新建路—新建北路、魏榆路、经纬路、王杜路—园区路、环城西路、新站南路、西荣路、太原马练营路南延线；国道环城线、西墕西路、小赵东路、铁东路、铁西路、怀仁东路、长寿西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6429" w:type="dxa"/>
            <w:gridSpan w:val="3"/>
          </w:tcPr>
          <w:p>
            <w:pPr>
              <w:spacing w:beforeLines="0" w:line="0" w:lineRule="atLeast"/>
              <w:ind w:left="0" w:leftChars="0" w:firstLine="0" w:firstLineChars="0"/>
              <w:rPr>
                <w:sz w:val="21"/>
                <w:szCs w:val="21"/>
              </w:rPr>
            </w:pPr>
            <w:r>
              <w:rPr>
                <w:rFonts w:hint="eastAsia"/>
                <w:sz w:val="21"/>
                <w:szCs w:val="21"/>
              </w:rPr>
              <w:t>“十八横”分别为：思凤街、创业街、顺城西街—顺城街、蕴华西街、迎宾街、广安街、杨盘街-汇丰街、文华街、大学街、文津街、鸣谦大街、太原龙城大道东延线；王郝北街、南要南街、滨河北街、滨河南街、东长寿街、小赵南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restart"/>
          </w:tcPr>
          <w:p>
            <w:pPr>
              <w:spacing w:beforeLines="0" w:line="0" w:lineRule="atLeast"/>
              <w:ind w:left="0" w:leftChars="0" w:firstLine="0" w:firstLineChars="0"/>
              <w:rPr>
                <w:b/>
                <w:sz w:val="21"/>
                <w:szCs w:val="21"/>
              </w:rPr>
            </w:pPr>
            <w:r>
              <w:rPr>
                <w:b/>
                <w:sz w:val="21"/>
                <w:szCs w:val="21"/>
              </w:rPr>
              <w:t>轨道交通</w:t>
            </w:r>
          </w:p>
        </w:tc>
        <w:tc>
          <w:tcPr>
            <w:tcW w:w="1578" w:type="dxa"/>
            <w:vMerge w:val="restart"/>
          </w:tcPr>
          <w:p>
            <w:pPr>
              <w:spacing w:beforeLines="0" w:line="0" w:lineRule="atLeast"/>
              <w:ind w:left="0" w:leftChars="0" w:firstLine="0" w:firstLineChars="0"/>
              <w:rPr>
                <w:sz w:val="21"/>
                <w:szCs w:val="21"/>
              </w:rPr>
            </w:pPr>
            <w:r>
              <w:rPr>
                <w:sz w:val="21"/>
                <w:szCs w:val="21"/>
              </w:rPr>
              <w:t>轨道线路</w:t>
            </w:r>
          </w:p>
        </w:tc>
        <w:tc>
          <w:tcPr>
            <w:tcW w:w="1276" w:type="dxa"/>
          </w:tcPr>
          <w:p>
            <w:pPr>
              <w:spacing w:beforeLines="0" w:line="0" w:lineRule="atLeast"/>
              <w:ind w:left="0" w:leftChars="0" w:firstLine="0" w:firstLineChars="0"/>
              <w:rPr>
                <w:sz w:val="21"/>
                <w:szCs w:val="21"/>
              </w:rPr>
            </w:pPr>
            <w:r>
              <w:rPr>
                <w:sz w:val="21"/>
                <w:szCs w:val="21"/>
              </w:rPr>
              <w:t>Y1号线</w:t>
            </w:r>
          </w:p>
        </w:tc>
        <w:tc>
          <w:tcPr>
            <w:tcW w:w="5153" w:type="dxa"/>
            <w:gridSpan w:val="2"/>
          </w:tcPr>
          <w:p>
            <w:pPr>
              <w:spacing w:beforeLines="0" w:line="0" w:lineRule="atLeast"/>
              <w:ind w:left="0" w:leftChars="0" w:firstLine="0" w:firstLineChars="0"/>
              <w:rPr>
                <w:sz w:val="21"/>
                <w:szCs w:val="21"/>
              </w:rPr>
            </w:pPr>
            <w:r>
              <w:rPr>
                <w:sz w:val="21"/>
                <w:szCs w:val="21"/>
              </w:rPr>
              <w:t>与太原</w:t>
            </w:r>
            <w:r>
              <w:rPr>
                <w:rFonts w:hint="eastAsia"/>
                <w:sz w:val="21"/>
                <w:szCs w:val="21"/>
              </w:rPr>
              <w:t>1号线衔接，</w:t>
            </w:r>
            <w:r>
              <w:rPr>
                <w:sz w:val="21"/>
                <w:szCs w:val="21"/>
              </w:rPr>
              <w:t>由枣园路南延，跨太旧快速路并沿铁路东侧至文华街，沿文华街向东至中都北路，</w:t>
            </w:r>
            <w:r>
              <w:rPr>
                <w:rFonts w:hint="eastAsia"/>
                <w:sz w:val="21"/>
                <w:szCs w:val="21"/>
              </w:rPr>
              <w:t>沿中都北路向南经中都路至顺城街，沿顺城街向东至锦纶路，沿锦纶路向南至城东客运站枢纽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1276" w:type="dxa"/>
          </w:tcPr>
          <w:p>
            <w:pPr>
              <w:spacing w:beforeLines="0" w:line="0" w:lineRule="atLeast"/>
              <w:ind w:left="0" w:leftChars="0" w:firstLine="0" w:firstLineChars="0"/>
              <w:rPr>
                <w:sz w:val="21"/>
                <w:szCs w:val="21"/>
              </w:rPr>
            </w:pPr>
            <w:r>
              <w:rPr>
                <w:sz w:val="21"/>
                <w:szCs w:val="21"/>
              </w:rPr>
              <w:t>Y2号线</w:t>
            </w:r>
          </w:p>
        </w:tc>
        <w:tc>
          <w:tcPr>
            <w:tcW w:w="5153" w:type="dxa"/>
            <w:gridSpan w:val="2"/>
          </w:tcPr>
          <w:p>
            <w:pPr>
              <w:spacing w:beforeLines="0" w:line="0" w:lineRule="atLeast"/>
              <w:ind w:left="0" w:leftChars="0" w:firstLine="0" w:firstLineChars="0"/>
              <w:rPr>
                <w:sz w:val="21"/>
                <w:szCs w:val="21"/>
              </w:rPr>
            </w:pPr>
            <w:r>
              <w:rPr>
                <w:rFonts w:hint="eastAsia"/>
                <w:sz w:val="21"/>
                <w:szCs w:val="21"/>
              </w:rPr>
              <w:t>衔接太原2号线，由小店向东延伸沿迎宾街向东延伸至城区东端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1276" w:type="dxa"/>
          </w:tcPr>
          <w:p>
            <w:pPr>
              <w:spacing w:beforeLines="0" w:line="0" w:lineRule="atLeast"/>
              <w:ind w:left="0" w:leftChars="0" w:firstLine="0" w:firstLineChars="0"/>
              <w:rPr>
                <w:sz w:val="21"/>
                <w:szCs w:val="21"/>
              </w:rPr>
            </w:pPr>
            <w:r>
              <w:rPr>
                <w:sz w:val="21"/>
                <w:szCs w:val="21"/>
              </w:rPr>
              <w:t>Y6号线</w:t>
            </w:r>
          </w:p>
        </w:tc>
        <w:tc>
          <w:tcPr>
            <w:tcW w:w="5153" w:type="dxa"/>
            <w:gridSpan w:val="2"/>
          </w:tcPr>
          <w:p>
            <w:pPr>
              <w:spacing w:beforeLines="0" w:line="0" w:lineRule="atLeast"/>
              <w:ind w:left="0" w:leftChars="0" w:firstLine="0" w:firstLineChars="0"/>
              <w:rPr>
                <w:sz w:val="21"/>
                <w:szCs w:val="21"/>
              </w:rPr>
            </w:pPr>
            <w:r>
              <w:rPr>
                <w:sz w:val="21"/>
                <w:szCs w:val="21"/>
              </w:rPr>
              <w:t>由太原</w:t>
            </w:r>
            <w:r>
              <w:rPr>
                <w:rFonts w:hint="eastAsia"/>
                <w:sz w:val="21"/>
                <w:szCs w:val="21"/>
              </w:rPr>
              <w:t>6号线在龙湖大街引入，并延伸至城区东端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0" w:firstLineChars="200"/>
              <w:rPr>
                <w:sz w:val="21"/>
                <w:szCs w:val="21"/>
              </w:rPr>
            </w:pPr>
          </w:p>
        </w:tc>
        <w:tc>
          <w:tcPr>
            <w:tcW w:w="1578" w:type="dxa"/>
            <w:vMerge w:val="continue"/>
          </w:tcPr>
          <w:p>
            <w:pPr>
              <w:spacing w:beforeLines="0" w:line="0" w:lineRule="atLeast"/>
              <w:ind w:left="0" w:leftChars="0" w:firstLine="420" w:firstLineChars="200"/>
              <w:rPr>
                <w:sz w:val="21"/>
                <w:szCs w:val="21"/>
              </w:rPr>
            </w:pPr>
          </w:p>
        </w:tc>
        <w:tc>
          <w:tcPr>
            <w:tcW w:w="1276" w:type="dxa"/>
          </w:tcPr>
          <w:p>
            <w:pPr>
              <w:spacing w:beforeLines="0" w:line="0" w:lineRule="atLeast"/>
              <w:ind w:left="0" w:leftChars="0" w:firstLine="0" w:firstLineChars="0"/>
              <w:rPr>
                <w:sz w:val="21"/>
                <w:szCs w:val="21"/>
              </w:rPr>
            </w:pPr>
            <w:r>
              <w:rPr>
                <w:rFonts w:hint="eastAsia"/>
                <w:sz w:val="21"/>
                <w:szCs w:val="21"/>
              </w:rPr>
              <w:t>Z</w:t>
            </w:r>
            <w:r>
              <w:rPr>
                <w:sz w:val="21"/>
                <w:szCs w:val="21"/>
              </w:rPr>
              <w:t>1号线</w:t>
            </w:r>
          </w:p>
        </w:tc>
        <w:tc>
          <w:tcPr>
            <w:tcW w:w="5153" w:type="dxa"/>
            <w:gridSpan w:val="2"/>
          </w:tcPr>
          <w:p>
            <w:pPr>
              <w:spacing w:beforeLines="0" w:line="0" w:lineRule="atLeast"/>
              <w:ind w:left="0" w:leftChars="0" w:firstLine="0" w:firstLineChars="0"/>
              <w:rPr>
                <w:sz w:val="21"/>
                <w:szCs w:val="21"/>
              </w:rPr>
            </w:pPr>
            <w:r>
              <w:rPr>
                <w:rFonts w:hint="eastAsia"/>
                <w:sz w:val="21"/>
                <w:szCs w:val="21"/>
              </w:rPr>
              <w:t>在潇河产业园区北部</w:t>
            </w:r>
            <w:r>
              <w:rPr>
                <w:sz w:val="21"/>
                <w:szCs w:val="21"/>
              </w:rPr>
              <w:t>与太原共建</w:t>
            </w:r>
            <w:r>
              <w:rPr>
                <w:rFonts w:hint="eastAsia"/>
                <w:sz w:val="21"/>
                <w:szCs w:val="21"/>
              </w:rPr>
              <w:t>，连接潇河产业园区太原起步区和晋中起步区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0" w:firstLineChars="200"/>
              <w:rPr>
                <w:sz w:val="21"/>
                <w:szCs w:val="21"/>
              </w:rPr>
            </w:pPr>
          </w:p>
        </w:tc>
        <w:tc>
          <w:tcPr>
            <w:tcW w:w="1578" w:type="dxa"/>
            <w:vMerge w:val="continue"/>
          </w:tcPr>
          <w:p>
            <w:pPr>
              <w:spacing w:beforeLines="0" w:line="0" w:lineRule="atLeast"/>
              <w:ind w:left="0" w:leftChars="0" w:firstLine="420" w:firstLineChars="200"/>
              <w:rPr>
                <w:sz w:val="21"/>
                <w:szCs w:val="21"/>
              </w:rPr>
            </w:pPr>
          </w:p>
        </w:tc>
        <w:tc>
          <w:tcPr>
            <w:tcW w:w="1276" w:type="dxa"/>
          </w:tcPr>
          <w:p>
            <w:pPr>
              <w:spacing w:beforeLines="0" w:line="0" w:lineRule="atLeast"/>
              <w:ind w:left="0" w:leftChars="0" w:firstLine="0" w:firstLineChars="0"/>
              <w:rPr>
                <w:sz w:val="21"/>
                <w:szCs w:val="21"/>
              </w:rPr>
            </w:pPr>
            <w:r>
              <w:rPr>
                <w:sz w:val="21"/>
                <w:szCs w:val="21"/>
              </w:rPr>
              <w:t>Z4号线</w:t>
            </w:r>
          </w:p>
        </w:tc>
        <w:tc>
          <w:tcPr>
            <w:tcW w:w="5153" w:type="dxa"/>
            <w:gridSpan w:val="2"/>
          </w:tcPr>
          <w:p>
            <w:pPr>
              <w:spacing w:beforeLines="0" w:line="0" w:lineRule="atLeast"/>
              <w:ind w:left="0" w:leftChars="0" w:firstLine="0" w:firstLineChars="0"/>
              <w:rPr>
                <w:sz w:val="21"/>
                <w:szCs w:val="21"/>
              </w:rPr>
            </w:pPr>
            <w:r>
              <w:rPr>
                <w:rFonts w:hint="eastAsia"/>
                <w:sz w:val="21"/>
                <w:szCs w:val="21"/>
              </w:rPr>
              <w:t>太原1号线的向南延伸线，经晋中站沿综合通道向南延伸至潇河产业园区晋中起步区西侧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0" w:firstLineChars="200"/>
              <w:rPr>
                <w:sz w:val="21"/>
                <w:szCs w:val="21"/>
              </w:rPr>
            </w:pPr>
          </w:p>
        </w:tc>
        <w:tc>
          <w:tcPr>
            <w:tcW w:w="1578" w:type="dxa"/>
            <w:vMerge w:val="continue"/>
          </w:tcPr>
          <w:p>
            <w:pPr>
              <w:spacing w:beforeLines="0" w:line="0" w:lineRule="atLeast"/>
              <w:ind w:left="0" w:leftChars="0" w:firstLine="420" w:firstLineChars="200"/>
              <w:rPr>
                <w:sz w:val="21"/>
                <w:szCs w:val="21"/>
              </w:rPr>
            </w:pPr>
          </w:p>
        </w:tc>
        <w:tc>
          <w:tcPr>
            <w:tcW w:w="1276" w:type="dxa"/>
          </w:tcPr>
          <w:p>
            <w:pPr>
              <w:spacing w:beforeLines="0" w:line="0" w:lineRule="atLeast"/>
              <w:ind w:left="0" w:leftChars="0" w:firstLine="0" w:firstLineChars="0"/>
              <w:rPr>
                <w:sz w:val="21"/>
                <w:szCs w:val="21"/>
              </w:rPr>
            </w:pPr>
            <w:r>
              <w:rPr>
                <w:sz w:val="21"/>
                <w:szCs w:val="21"/>
              </w:rPr>
              <w:t>Z5号线</w:t>
            </w:r>
          </w:p>
        </w:tc>
        <w:tc>
          <w:tcPr>
            <w:tcW w:w="5153" w:type="dxa"/>
            <w:gridSpan w:val="2"/>
          </w:tcPr>
          <w:p>
            <w:pPr>
              <w:spacing w:beforeLines="0" w:line="0" w:lineRule="atLeast"/>
              <w:ind w:left="0" w:leftChars="0" w:firstLine="0" w:firstLineChars="0"/>
              <w:rPr>
                <w:sz w:val="21"/>
                <w:szCs w:val="21"/>
              </w:rPr>
            </w:pPr>
            <w:r>
              <w:rPr>
                <w:sz w:val="21"/>
                <w:szCs w:val="21"/>
              </w:rPr>
              <w:t>晋中Y1号线</w:t>
            </w:r>
            <w:r>
              <w:rPr>
                <w:rFonts w:hint="eastAsia"/>
                <w:sz w:val="21"/>
                <w:szCs w:val="21"/>
              </w:rPr>
              <w:t>经潇河湿地公园延伸至潇河产业园区晋中起步区东侧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69" w:hRule="atLeast"/>
          <w:jc w:val="center"/>
        </w:trPr>
        <w:tc>
          <w:tcPr>
            <w:tcW w:w="515" w:type="dxa"/>
            <w:vMerge w:val="continue"/>
          </w:tcPr>
          <w:p>
            <w:pPr>
              <w:spacing w:beforeLines="0" w:line="0" w:lineRule="atLeast"/>
              <w:ind w:left="0" w:leftChars="0" w:firstLine="0" w:firstLineChars="0"/>
              <w:rPr>
                <w:sz w:val="21"/>
                <w:szCs w:val="21"/>
              </w:rPr>
            </w:pPr>
          </w:p>
        </w:tc>
        <w:tc>
          <w:tcPr>
            <w:tcW w:w="1578" w:type="dxa"/>
          </w:tcPr>
          <w:p>
            <w:pPr>
              <w:spacing w:beforeLines="0" w:line="0" w:lineRule="atLeast"/>
              <w:ind w:left="0" w:leftChars="0" w:firstLine="0" w:firstLineChars="0"/>
              <w:rPr>
                <w:sz w:val="21"/>
                <w:szCs w:val="21"/>
              </w:rPr>
            </w:pPr>
            <w:r>
              <w:rPr>
                <w:sz w:val="21"/>
                <w:szCs w:val="21"/>
              </w:rPr>
              <w:t>配套设施</w:t>
            </w:r>
          </w:p>
        </w:tc>
        <w:tc>
          <w:tcPr>
            <w:tcW w:w="6429" w:type="dxa"/>
            <w:gridSpan w:val="3"/>
          </w:tcPr>
          <w:p>
            <w:pPr>
              <w:spacing w:beforeLines="0" w:line="0" w:lineRule="atLeast"/>
              <w:ind w:left="0" w:leftChars="0" w:firstLine="0" w:firstLineChars="0"/>
              <w:rPr>
                <w:sz w:val="21"/>
                <w:szCs w:val="21"/>
              </w:rPr>
            </w:pPr>
            <w:r>
              <w:rPr>
                <w:sz w:val="21"/>
                <w:szCs w:val="21"/>
              </w:rPr>
              <w:t>在Y1号线、Y2号线延伸线末端规划预留综合维修基地、车辆段和停车场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restart"/>
          </w:tcPr>
          <w:p>
            <w:pPr>
              <w:spacing w:beforeLines="0" w:line="0" w:lineRule="atLeast"/>
              <w:ind w:left="0" w:leftChars="0" w:firstLine="0" w:firstLineChars="0"/>
              <w:rPr>
                <w:b/>
                <w:sz w:val="21"/>
                <w:szCs w:val="21"/>
              </w:rPr>
            </w:pPr>
            <w:r>
              <w:rPr>
                <w:b/>
                <w:sz w:val="21"/>
                <w:szCs w:val="21"/>
              </w:rPr>
              <w:t>公共交通</w:t>
            </w:r>
          </w:p>
        </w:tc>
        <w:tc>
          <w:tcPr>
            <w:tcW w:w="1578" w:type="dxa"/>
            <w:vMerge w:val="restart"/>
          </w:tcPr>
          <w:p>
            <w:pPr>
              <w:spacing w:beforeLines="0" w:line="0" w:lineRule="atLeast"/>
              <w:ind w:left="0" w:leftChars="0" w:firstLine="0" w:firstLineChars="0"/>
              <w:rPr>
                <w:sz w:val="21"/>
                <w:szCs w:val="21"/>
              </w:rPr>
            </w:pPr>
            <w:r>
              <w:rPr>
                <w:sz w:val="21"/>
                <w:szCs w:val="21"/>
              </w:rPr>
              <w:t>公交客运走廊</w:t>
            </w:r>
          </w:p>
        </w:tc>
        <w:tc>
          <w:tcPr>
            <w:tcW w:w="6429" w:type="dxa"/>
            <w:gridSpan w:val="3"/>
          </w:tcPr>
          <w:p>
            <w:pPr>
              <w:spacing w:beforeLines="0" w:line="0" w:lineRule="atLeast"/>
              <w:ind w:left="0" w:leftChars="0" w:firstLine="0" w:firstLineChars="0"/>
              <w:rPr>
                <w:sz w:val="21"/>
                <w:szCs w:val="21"/>
              </w:rPr>
            </w:pPr>
            <w:r>
              <w:rPr>
                <w:sz w:val="21"/>
                <w:szCs w:val="21"/>
              </w:rPr>
              <w:t>“</w:t>
            </w:r>
            <w:r>
              <w:rPr>
                <w:rFonts w:hint="eastAsia"/>
                <w:sz w:val="21"/>
                <w:szCs w:val="21"/>
              </w:rPr>
              <w:t>六</w:t>
            </w:r>
            <w:r>
              <w:rPr>
                <w:sz w:val="21"/>
                <w:szCs w:val="21"/>
              </w:rPr>
              <w:t>横”：</w:t>
            </w:r>
            <w:r>
              <w:rPr>
                <w:rFonts w:hint="eastAsia"/>
                <w:sz w:val="21"/>
                <w:szCs w:val="21"/>
              </w:rPr>
              <w:t xml:space="preserve"> 顺城西街—顺城街、迎宾西街—迎宾街、龙湖街、大学街、小牛街、东长寿街走廊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6429" w:type="dxa"/>
            <w:gridSpan w:val="3"/>
          </w:tcPr>
          <w:p>
            <w:pPr>
              <w:spacing w:beforeLines="0" w:line="0" w:lineRule="atLeast"/>
              <w:ind w:left="0" w:leftChars="0" w:firstLine="0" w:firstLineChars="0"/>
              <w:rPr>
                <w:sz w:val="21"/>
                <w:szCs w:val="21"/>
              </w:rPr>
            </w:pPr>
            <w:r>
              <w:rPr>
                <w:sz w:val="21"/>
                <w:szCs w:val="21"/>
              </w:rPr>
              <w:t>“三纵”：汇通路—汇通南路、中都路—中都北路、环城西路走廊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restart"/>
          </w:tcPr>
          <w:p>
            <w:pPr>
              <w:spacing w:beforeLines="0" w:line="0" w:lineRule="atLeast"/>
              <w:ind w:left="0" w:leftChars="0" w:firstLine="0" w:firstLineChars="0"/>
              <w:rPr>
                <w:sz w:val="21"/>
                <w:szCs w:val="21"/>
              </w:rPr>
            </w:pPr>
            <w:r>
              <w:rPr>
                <w:sz w:val="21"/>
                <w:szCs w:val="21"/>
              </w:rPr>
              <w:t>公交枢纽（8个）</w:t>
            </w:r>
          </w:p>
        </w:tc>
        <w:tc>
          <w:tcPr>
            <w:tcW w:w="2410" w:type="dxa"/>
            <w:gridSpan w:val="2"/>
          </w:tcPr>
          <w:p>
            <w:pPr>
              <w:spacing w:beforeLines="0" w:line="0" w:lineRule="atLeast"/>
              <w:ind w:left="0" w:leftChars="0" w:firstLine="0" w:firstLineChars="0"/>
              <w:rPr>
                <w:sz w:val="21"/>
                <w:szCs w:val="21"/>
              </w:rPr>
            </w:pPr>
            <w:r>
              <w:rPr>
                <w:sz w:val="21"/>
                <w:szCs w:val="21"/>
              </w:rPr>
              <w:t>晋中站枢纽</w:t>
            </w:r>
          </w:p>
        </w:tc>
        <w:tc>
          <w:tcPr>
            <w:tcW w:w="4019" w:type="dxa"/>
            <w:vMerge w:val="restart"/>
          </w:tcPr>
          <w:p>
            <w:pPr>
              <w:spacing w:beforeLines="0" w:line="0" w:lineRule="atLeast"/>
              <w:ind w:left="0" w:leftChars="0" w:firstLine="0" w:firstLineChars="0"/>
              <w:rPr>
                <w:sz w:val="21"/>
                <w:szCs w:val="21"/>
              </w:rPr>
            </w:pPr>
            <w:r>
              <w:rPr>
                <w:sz w:val="21"/>
                <w:szCs w:val="21"/>
              </w:rPr>
              <w:t>一体化换乘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城北公路客运站枢纽</w:t>
            </w:r>
          </w:p>
        </w:tc>
        <w:tc>
          <w:tcPr>
            <w:tcW w:w="4019" w:type="dxa"/>
            <w:vMerge w:val="continue"/>
          </w:tcPr>
          <w:p>
            <w:pPr>
              <w:spacing w:beforeLines="0" w:line="0" w:lineRule="atLeast"/>
              <w:ind w:left="0" w:leftChars="0"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城南公路客运站枢纽</w:t>
            </w:r>
          </w:p>
        </w:tc>
        <w:tc>
          <w:tcPr>
            <w:tcW w:w="4019" w:type="dxa"/>
            <w:vMerge w:val="continue"/>
          </w:tcPr>
          <w:p>
            <w:pPr>
              <w:spacing w:beforeLines="0" w:line="0" w:lineRule="atLeast"/>
              <w:ind w:left="0" w:leftChars="0"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城东公路客运站枢纽</w:t>
            </w:r>
          </w:p>
        </w:tc>
        <w:tc>
          <w:tcPr>
            <w:tcW w:w="4019" w:type="dxa"/>
            <w:vMerge w:val="continue"/>
          </w:tcPr>
          <w:p>
            <w:pPr>
              <w:spacing w:beforeLines="0" w:line="0" w:lineRule="atLeast"/>
              <w:ind w:left="0" w:leftChars="0"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迎宾街枢纽</w:t>
            </w:r>
          </w:p>
        </w:tc>
        <w:tc>
          <w:tcPr>
            <w:tcW w:w="4019" w:type="dxa"/>
            <w:vMerge w:val="continue"/>
          </w:tcPr>
          <w:p>
            <w:pPr>
              <w:spacing w:beforeLines="0" w:line="0" w:lineRule="atLeast"/>
              <w:ind w:left="0" w:leftChars="0"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迎宾西街枢纽</w:t>
            </w:r>
          </w:p>
        </w:tc>
        <w:tc>
          <w:tcPr>
            <w:tcW w:w="4019" w:type="dxa"/>
          </w:tcPr>
          <w:p>
            <w:pPr>
              <w:spacing w:beforeLines="0" w:line="0" w:lineRule="atLeast"/>
              <w:ind w:left="0" w:leftChars="0" w:firstLine="0" w:firstLineChars="0"/>
              <w:rPr>
                <w:sz w:val="21"/>
                <w:szCs w:val="21"/>
              </w:rPr>
            </w:pPr>
            <w:r>
              <w:rPr>
                <w:sz w:val="21"/>
                <w:szCs w:val="21"/>
              </w:rPr>
              <w:t>加强晋中中心城区与太原南部地区、未来科技城的公交线路网对接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北部新城枢纽</w:t>
            </w:r>
          </w:p>
        </w:tc>
        <w:tc>
          <w:tcPr>
            <w:tcW w:w="4019" w:type="dxa"/>
          </w:tcPr>
          <w:p>
            <w:pPr>
              <w:spacing w:beforeLines="0" w:line="0" w:lineRule="atLeast"/>
              <w:ind w:left="0" w:leftChars="0" w:firstLine="0" w:firstLineChars="0"/>
              <w:rPr>
                <w:sz w:val="21"/>
                <w:szCs w:val="21"/>
              </w:rPr>
            </w:pPr>
            <w:r>
              <w:rPr>
                <w:sz w:val="21"/>
                <w:szCs w:val="21"/>
              </w:rPr>
              <w:t>促进并支撑</w:t>
            </w:r>
            <w:r>
              <w:rPr>
                <w:rFonts w:hint="eastAsia"/>
                <w:sz w:val="21"/>
                <w:szCs w:val="21"/>
              </w:rPr>
              <w:t>北部新城</w:t>
            </w:r>
            <w:r>
              <w:rPr>
                <w:sz w:val="21"/>
                <w:szCs w:val="21"/>
              </w:rPr>
              <w:t>中心功能的形成和发展，同时兼顾城乡客运衔接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0" w:firstLineChars="200"/>
              <w:rPr>
                <w:sz w:val="21"/>
                <w:szCs w:val="21"/>
              </w:rPr>
            </w:pPr>
          </w:p>
        </w:tc>
        <w:tc>
          <w:tcPr>
            <w:tcW w:w="1578" w:type="dxa"/>
            <w:vMerge w:val="continue"/>
          </w:tcPr>
          <w:p>
            <w:pPr>
              <w:spacing w:beforeLines="0" w:line="0" w:lineRule="atLeast"/>
              <w:ind w:left="0" w:leftChars="0" w:firstLine="420" w:firstLineChars="20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潇河客运站枢纽</w:t>
            </w:r>
          </w:p>
        </w:tc>
        <w:tc>
          <w:tcPr>
            <w:tcW w:w="4019" w:type="dxa"/>
          </w:tcPr>
          <w:p>
            <w:pPr>
              <w:spacing w:beforeLines="0" w:line="0" w:lineRule="atLeast"/>
              <w:ind w:left="0" w:leftChars="0" w:firstLine="0" w:firstLineChars="0"/>
              <w:rPr>
                <w:sz w:val="21"/>
                <w:szCs w:val="21"/>
              </w:rPr>
            </w:pPr>
            <w:r>
              <w:rPr>
                <w:rFonts w:hint="eastAsia"/>
                <w:sz w:val="21"/>
                <w:szCs w:val="21"/>
              </w:rPr>
              <w:t>服务潇河组团，强化组团与晋中主城区、太原主城区联系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restart"/>
          </w:tcPr>
          <w:p>
            <w:pPr>
              <w:spacing w:beforeLines="0" w:line="0" w:lineRule="atLeast"/>
              <w:ind w:left="0" w:leftChars="0" w:firstLine="0" w:firstLineChars="0"/>
              <w:rPr>
                <w:sz w:val="21"/>
                <w:szCs w:val="21"/>
              </w:rPr>
            </w:pPr>
            <w:r>
              <w:rPr>
                <w:sz w:val="21"/>
                <w:szCs w:val="21"/>
              </w:rPr>
              <w:t>停</w:t>
            </w:r>
            <w:r>
              <w:rPr>
                <w:sz w:val="21"/>
                <w:szCs w:val="21"/>
              </w:rPr>
              <w:tab/>
            </w:r>
            <w:r>
              <w:rPr>
                <w:sz w:val="21"/>
                <w:szCs w:val="21"/>
              </w:rPr>
              <w:t>保场（6个）</w:t>
            </w:r>
          </w:p>
        </w:tc>
        <w:tc>
          <w:tcPr>
            <w:tcW w:w="2410" w:type="dxa"/>
            <w:gridSpan w:val="2"/>
          </w:tcPr>
          <w:p>
            <w:pPr>
              <w:spacing w:beforeLines="0" w:line="0" w:lineRule="atLeast"/>
              <w:ind w:left="0" w:leftChars="0" w:firstLine="0" w:firstLineChars="0"/>
              <w:rPr>
                <w:sz w:val="21"/>
                <w:szCs w:val="21"/>
              </w:rPr>
            </w:pPr>
            <w:r>
              <w:rPr>
                <w:sz w:val="21"/>
                <w:szCs w:val="21"/>
              </w:rPr>
              <w:t>北部新</w:t>
            </w:r>
            <w:r>
              <w:rPr>
                <w:rFonts w:hint="eastAsia"/>
                <w:sz w:val="21"/>
                <w:szCs w:val="21"/>
              </w:rPr>
              <w:t>城</w:t>
            </w:r>
            <w:r>
              <w:rPr>
                <w:sz w:val="21"/>
                <w:szCs w:val="21"/>
              </w:rPr>
              <w:t>停保场</w:t>
            </w:r>
          </w:p>
        </w:tc>
        <w:tc>
          <w:tcPr>
            <w:tcW w:w="4019" w:type="dxa"/>
          </w:tcPr>
          <w:p>
            <w:pPr>
              <w:spacing w:beforeLines="0" w:line="0" w:lineRule="atLeast"/>
              <w:ind w:left="0" w:leftChars="0" w:firstLine="0" w:firstLineChars="0"/>
              <w:rPr>
                <w:sz w:val="21"/>
                <w:szCs w:val="21"/>
              </w:rPr>
            </w:pPr>
            <w:r>
              <w:rPr>
                <w:sz w:val="21"/>
                <w:szCs w:val="21"/>
              </w:rPr>
              <w:t>大学街—锦纶北路交叉口北侧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龙湖街停保场</w:t>
            </w:r>
          </w:p>
        </w:tc>
        <w:tc>
          <w:tcPr>
            <w:tcW w:w="4019" w:type="dxa"/>
          </w:tcPr>
          <w:p>
            <w:pPr>
              <w:spacing w:beforeLines="0" w:line="0" w:lineRule="atLeast"/>
              <w:ind w:left="0" w:leftChars="0" w:firstLine="0" w:firstLineChars="0"/>
              <w:rPr>
                <w:sz w:val="21"/>
                <w:szCs w:val="21"/>
              </w:rPr>
            </w:pPr>
            <w:r>
              <w:rPr>
                <w:sz w:val="21"/>
                <w:szCs w:val="21"/>
              </w:rPr>
              <w:t>龙湖街—经九路交叉口</w:t>
            </w:r>
            <w:r>
              <w:rPr>
                <w:rFonts w:hint="eastAsia"/>
                <w:sz w:val="21"/>
                <w:szCs w:val="21"/>
              </w:rPr>
              <w:t>西</w:t>
            </w:r>
            <w:r>
              <w:rPr>
                <w:sz w:val="21"/>
                <w:szCs w:val="21"/>
              </w:rPr>
              <w:t>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东外环停保场</w:t>
            </w:r>
          </w:p>
        </w:tc>
        <w:tc>
          <w:tcPr>
            <w:tcW w:w="4019" w:type="dxa"/>
          </w:tcPr>
          <w:p>
            <w:pPr>
              <w:spacing w:beforeLines="0" w:line="0" w:lineRule="atLeast"/>
              <w:ind w:left="0" w:leftChars="0" w:firstLine="0" w:firstLineChars="0"/>
              <w:rPr>
                <w:sz w:val="21"/>
                <w:szCs w:val="21"/>
              </w:rPr>
            </w:pPr>
            <w:r>
              <w:rPr>
                <w:rFonts w:hint="eastAsia"/>
                <w:sz w:val="21"/>
                <w:szCs w:val="21"/>
              </w:rPr>
              <w:t>蕴华街</w:t>
            </w:r>
            <w:r>
              <w:rPr>
                <w:sz w:val="21"/>
                <w:szCs w:val="21"/>
              </w:rPr>
              <w:t>—环城东路交叉口</w:t>
            </w:r>
            <w:r>
              <w:rPr>
                <w:rFonts w:hint="eastAsia"/>
                <w:sz w:val="21"/>
                <w:szCs w:val="21"/>
              </w:rPr>
              <w:t>以东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rFonts w:hint="eastAsia"/>
                <w:sz w:val="21"/>
                <w:szCs w:val="21"/>
              </w:rPr>
              <w:t>西</w:t>
            </w:r>
            <w:r>
              <w:rPr>
                <w:sz w:val="21"/>
                <w:szCs w:val="21"/>
              </w:rPr>
              <w:t>环停保场</w:t>
            </w:r>
          </w:p>
        </w:tc>
        <w:tc>
          <w:tcPr>
            <w:tcW w:w="4019" w:type="dxa"/>
          </w:tcPr>
          <w:p>
            <w:pPr>
              <w:spacing w:beforeLines="0" w:line="0" w:lineRule="atLeast"/>
              <w:ind w:left="0" w:leftChars="0" w:firstLine="0" w:firstLineChars="0"/>
              <w:rPr>
                <w:sz w:val="21"/>
                <w:szCs w:val="21"/>
              </w:rPr>
            </w:pPr>
            <w:r>
              <w:rPr>
                <w:rFonts w:hint="eastAsia"/>
                <w:sz w:val="21"/>
                <w:szCs w:val="21"/>
              </w:rPr>
              <w:t>环城西路</w:t>
            </w:r>
            <w:r>
              <w:rPr>
                <w:sz w:val="21"/>
                <w:szCs w:val="21"/>
              </w:rPr>
              <w:t>—</w:t>
            </w:r>
            <w:r>
              <w:rPr>
                <w:rFonts w:hint="eastAsia"/>
                <w:sz w:val="21"/>
                <w:szCs w:val="21"/>
              </w:rPr>
              <w:t>思凤街</w:t>
            </w:r>
            <w:r>
              <w:rPr>
                <w:sz w:val="21"/>
                <w:szCs w:val="21"/>
              </w:rPr>
              <w:t>交叉口南侧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0" w:firstLineChars="0"/>
              <w:rPr>
                <w:sz w:val="21"/>
                <w:szCs w:val="21"/>
              </w:rPr>
            </w:pPr>
          </w:p>
        </w:tc>
        <w:tc>
          <w:tcPr>
            <w:tcW w:w="1578" w:type="dxa"/>
            <w:vMerge w:val="continue"/>
          </w:tcPr>
          <w:p>
            <w:pPr>
              <w:spacing w:beforeLines="0" w:line="0" w:lineRule="atLeast"/>
              <w:ind w:left="0" w:leftChars="0" w:firstLine="0" w:firstLineChars="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思凤街停保场</w:t>
            </w:r>
          </w:p>
        </w:tc>
        <w:tc>
          <w:tcPr>
            <w:tcW w:w="4019" w:type="dxa"/>
          </w:tcPr>
          <w:p>
            <w:pPr>
              <w:spacing w:beforeLines="0" w:line="0" w:lineRule="atLeast"/>
              <w:ind w:left="0" w:leftChars="0" w:firstLine="0" w:firstLineChars="0"/>
              <w:rPr>
                <w:sz w:val="21"/>
                <w:szCs w:val="21"/>
              </w:rPr>
            </w:pPr>
            <w:r>
              <w:rPr>
                <w:sz w:val="21"/>
                <w:szCs w:val="21"/>
              </w:rPr>
              <w:t>锦纶路—思凤街交叉口</w:t>
            </w:r>
            <w:r>
              <w:rPr>
                <w:rFonts w:hint="eastAsia"/>
                <w:sz w:val="21"/>
                <w:szCs w:val="21"/>
              </w:rPr>
              <w:t>东</w:t>
            </w:r>
            <w:r>
              <w:rPr>
                <w:sz w:val="21"/>
                <w:szCs w:val="21"/>
              </w:rPr>
              <w:t>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0" w:firstLineChars="200"/>
              <w:rPr>
                <w:sz w:val="21"/>
                <w:szCs w:val="21"/>
              </w:rPr>
            </w:pPr>
          </w:p>
        </w:tc>
        <w:tc>
          <w:tcPr>
            <w:tcW w:w="1578" w:type="dxa"/>
            <w:vMerge w:val="continue"/>
          </w:tcPr>
          <w:p>
            <w:pPr>
              <w:spacing w:beforeLines="0" w:line="0" w:lineRule="atLeast"/>
              <w:ind w:left="0" w:leftChars="0" w:firstLine="420" w:firstLineChars="200"/>
              <w:rPr>
                <w:sz w:val="21"/>
                <w:szCs w:val="21"/>
              </w:rPr>
            </w:pPr>
          </w:p>
        </w:tc>
        <w:tc>
          <w:tcPr>
            <w:tcW w:w="2410" w:type="dxa"/>
            <w:gridSpan w:val="2"/>
          </w:tcPr>
          <w:p>
            <w:pPr>
              <w:spacing w:beforeLines="0" w:line="0" w:lineRule="atLeast"/>
              <w:ind w:left="0" w:leftChars="0" w:firstLine="0" w:firstLineChars="0"/>
              <w:rPr>
                <w:sz w:val="21"/>
                <w:szCs w:val="21"/>
              </w:rPr>
            </w:pPr>
            <w:r>
              <w:rPr>
                <w:sz w:val="21"/>
                <w:szCs w:val="21"/>
              </w:rPr>
              <w:t>潇河停保场</w:t>
            </w:r>
          </w:p>
        </w:tc>
        <w:tc>
          <w:tcPr>
            <w:tcW w:w="4019" w:type="dxa"/>
          </w:tcPr>
          <w:p>
            <w:pPr>
              <w:spacing w:beforeLines="0" w:line="0" w:lineRule="atLeast"/>
              <w:ind w:left="0" w:leftChars="0" w:firstLine="0" w:firstLineChars="0"/>
              <w:rPr>
                <w:sz w:val="21"/>
                <w:szCs w:val="21"/>
              </w:rPr>
            </w:pPr>
            <w:r>
              <w:rPr>
                <w:sz w:val="21"/>
                <w:szCs w:val="21"/>
              </w:rPr>
              <w:t>综合通道</w:t>
            </w:r>
            <w:r>
              <w:rPr>
                <w:rFonts w:hint="eastAsia"/>
                <w:sz w:val="21"/>
                <w:szCs w:val="21"/>
              </w:rPr>
              <w:t>—</w:t>
            </w:r>
            <w:r>
              <w:rPr>
                <w:sz w:val="21"/>
                <w:szCs w:val="21"/>
              </w:rPr>
              <w:t>姚村规划路交叉口东侧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restart"/>
          </w:tcPr>
          <w:p>
            <w:pPr>
              <w:spacing w:beforeLines="0" w:line="0" w:lineRule="atLeast"/>
              <w:ind w:left="0" w:leftChars="0" w:firstLine="0" w:firstLineChars="0"/>
              <w:rPr>
                <w:b/>
                <w:sz w:val="21"/>
                <w:szCs w:val="21"/>
              </w:rPr>
            </w:pPr>
            <w:r>
              <w:rPr>
                <w:b/>
                <w:sz w:val="21"/>
                <w:szCs w:val="21"/>
              </w:rPr>
              <w:t>停车系统</w:t>
            </w:r>
          </w:p>
        </w:tc>
        <w:tc>
          <w:tcPr>
            <w:tcW w:w="1578" w:type="dxa"/>
            <w:vMerge w:val="restart"/>
          </w:tcPr>
          <w:p>
            <w:pPr>
              <w:spacing w:beforeLines="0" w:line="0" w:lineRule="atLeast"/>
              <w:ind w:left="0" w:leftChars="0" w:firstLine="0" w:firstLineChars="0"/>
              <w:rPr>
                <w:sz w:val="21"/>
                <w:szCs w:val="21"/>
              </w:rPr>
            </w:pPr>
            <w:r>
              <w:rPr>
                <w:sz w:val="21"/>
                <w:szCs w:val="21"/>
              </w:rPr>
              <w:t>主要社会公共停车场（9个）</w:t>
            </w:r>
          </w:p>
        </w:tc>
        <w:tc>
          <w:tcPr>
            <w:tcW w:w="2410" w:type="dxa"/>
            <w:gridSpan w:val="2"/>
            <w:vAlign w:val="center"/>
          </w:tcPr>
          <w:p>
            <w:pPr>
              <w:spacing w:beforeLines="0" w:line="0" w:lineRule="atLeast"/>
              <w:ind w:left="0" w:leftChars="0" w:firstLine="0" w:firstLineChars="0"/>
              <w:rPr>
                <w:sz w:val="21"/>
                <w:szCs w:val="21"/>
              </w:rPr>
            </w:pPr>
            <w:r>
              <w:rPr>
                <w:rFonts w:hint="eastAsia"/>
                <w:sz w:val="21"/>
                <w:szCs w:val="21"/>
              </w:rPr>
              <w:t>晋中站停车场</w:t>
            </w:r>
          </w:p>
        </w:tc>
        <w:tc>
          <w:tcPr>
            <w:tcW w:w="4019" w:type="dxa"/>
          </w:tcPr>
          <w:p>
            <w:pPr>
              <w:spacing w:beforeLines="0" w:line="0" w:lineRule="atLeast"/>
              <w:ind w:left="0" w:leftChars="0" w:firstLine="0" w:firstLineChars="0"/>
              <w:rPr>
                <w:sz w:val="21"/>
                <w:szCs w:val="21"/>
              </w:rPr>
            </w:pPr>
            <w:r>
              <w:rPr>
                <w:rFonts w:hint="eastAsia"/>
                <w:sz w:val="21"/>
                <w:szCs w:val="21"/>
              </w:rPr>
              <w:t>结合晋中站、晋中客运站布设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0" w:firstLineChars="200"/>
              <w:rPr>
                <w:sz w:val="21"/>
                <w:szCs w:val="21"/>
              </w:rPr>
            </w:pPr>
          </w:p>
        </w:tc>
        <w:tc>
          <w:tcPr>
            <w:tcW w:w="1578" w:type="dxa"/>
            <w:vMerge w:val="continue"/>
          </w:tcPr>
          <w:p>
            <w:pPr>
              <w:spacing w:beforeLines="0" w:line="0" w:lineRule="atLeast"/>
              <w:ind w:left="0" w:leftChars="0" w:firstLine="420" w:firstLineChars="200"/>
              <w:rPr>
                <w:sz w:val="21"/>
                <w:szCs w:val="21"/>
              </w:rPr>
            </w:pPr>
          </w:p>
        </w:tc>
        <w:tc>
          <w:tcPr>
            <w:tcW w:w="2410" w:type="dxa"/>
            <w:gridSpan w:val="2"/>
            <w:vAlign w:val="center"/>
          </w:tcPr>
          <w:p>
            <w:pPr>
              <w:spacing w:beforeLines="0" w:line="0" w:lineRule="atLeast"/>
              <w:ind w:left="0" w:leftChars="0" w:firstLine="0" w:firstLineChars="0"/>
              <w:rPr>
                <w:sz w:val="21"/>
                <w:szCs w:val="21"/>
              </w:rPr>
            </w:pPr>
            <w:r>
              <w:rPr>
                <w:rFonts w:hint="eastAsia"/>
                <w:sz w:val="21"/>
                <w:szCs w:val="21"/>
              </w:rPr>
              <w:t>城北停车场</w:t>
            </w:r>
          </w:p>
        </w:tc>
        <w:tc>
          <w:tcPr>
            <w:tcW w:w="4019" w:type="dxa"/>
          </w:tcPr>
          <w:p>
            <w:pPr>
              <w:spacing w:beforeLines="0" w:line="0" w:lineRule="atLeast"/>
              <w:ind w:left="0" w:leftChars="0" w:firstLine="0" w:firstLineChars="0"/>
              <w:rPr>
                <w:sz w:val="21"/>
                <w:szCs w:val="21"/>
              </w:rPr>
            </w:pPr>
            <w:r>
              <w:rPr>
                <w:rFonts w:hint="eastAsia"/>
                <w:sz w:val="21"/>
                <w:szCs w:val="21"/>
              </w:rPr>
              <w:t>结合城北客运站布设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0" w:firstLineChars="200"/>
              <w:rPr>
                <w:sz w:val="21"/>
                <w:szCs w:val="21"/>
              </w:rPr>
            </w:pPr>
          </w:p>
        </w:tc>
        <w:tc>
          <w:tcPr>
            <w:tcW w:w="1578" w:type="dxa"/>
            <w:vMerge w:val="continue"/>
          </w:tcPr>
          <w:p>
            <w:pPr>
              <w:spacing w:beforeLines="0" w:line="0" w:lineRule="atLeast"/>
              <w:ind w:left="0" w:leftChars="0" w:firstLine="420" w:firstLineChars="200"/>
              <w:rPr>
                <w:sz w:val="21"/>
                <w:szCs w:val="21"/>
              </w:rPr>
            </w:pPr>
          </w:p>
        </w:tc>
        <w:tc>
          <w:tcPr>
            <w:tcW w:w="2410" w:type="dxa"/>
            <w:gridSpan w:val="2"/>
            <w:vAlign w:val="center"/>
          </w:tcPr>
          <w:p>
            <w:pPr>
              <w:spacing w:beforeLines="0" w:line="0" w:lineRule="atLeast"/>
              <w:ind w:left="0" w:leftChars="0" w:firstLine="0" w:firstLineChars="0"/>
              <w:rPr>
                <w:sz w:val="21"/>
                <w:szCs w:val="21"/>
              </w:rPr>
            </w:pPr>
            <w:r>
              <w:rPr>
                <w:rFonts w:hint="eastAsia"/>
                <w:sz w:val="21"/>
                <w:szCs w:val="21"/>
              </w:rPr>
              <w:t>城南停车场</w:t>
            </w:r>
          </w:p>
        </w:tc>
        <w:tc>
          <w:tcPr>
            <w:tcW w:w="4019" w:type="dxa"/>
          </w:tcPr>
          <w:p>
            <w:pPr>
              <w:spacing w:beforeLines="0" w:line="0" w:lineRule="atLeast"/>
              <w:ind w:left="0" w:leftChars="0" w:firstLine="0" w:firstLineChars="0"/>
              <w:rPr>
                <w:sz w:val="21"/>
                <w:szCs w:val="21"/>
              </w:rPr>
            </w:pPr>
            <w:r>
              <w:rPr>
                <w:rFonts w:hint="eastAsia"/>
                <w:sz w:val="21"/>
                <w:szCs w:val="21"/>
              </w:rPr>
              <w:t>结合城南客运站布设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0" w:firstLineChars="200"/>
              <w:rPr>
                <w:sz w:val="21"/>
                <w:szCs w:val="21"/>
              </w:rPr>
            </w:pPr>
          </w:p>
        </w:tc>
        <w:tc>
          <w:tcPr>
            <w:tcW w:w="1578" w:type="dxa"/>
            <w:vMerge w:val="continue"/>
          </w:tcPr>
          <w:p>
            <w:pPr>
              <w:spacing w:beforeLines="0" w:line="0" w:lineRule="atLeast"/>
              <w:ind w:left="0" w:leftChars="0" w:firstLine="420" w:firstLineChars="200"/>
              <w:rPr>
                <w:sz w:val="21"/>
                <w:szCs w:val="21"/>
              </w:rPr>
            </w:pPr>
          </w:p>
        </w:tc>
        <w:tc>
          <w:tcPr>
            <w:tcW w:w="2410" w:type="dxa"/>
            <w:gridSpan w:val="2"/>
            <w:vAlign w:val="center"/>
          </w:tcPr>
          <w:p>
            <w:pPr>
              <w:spacing w:beforeLines="0" w:line="0" w:lineRule="atLeast"/>
              <w:ind w:left="0" w:leftChars="0" w:firstLine="0" w:firstLineChars="0"/>
              <w:rPr>
                <w:sz w:val="21"/>
                <w:szCs w:val="21"/>
              </w:rPr>
            </w:pPr>
            <w:r>
              <w:rPr>
                <w:rFonts w:hint="eastAsia"/>
                <w:sz w:val="21"/>
                <w:szCs w:val="21"/>
              </w:rPr>
              <w:t>北六堡停车场</w:t>
            </w:r>
          </w:p>
        </w:tc>
        <w:tc>
          <w:tcPr>
            <w:tcW w:w="4019" w:type="dxa"/>
          </w:tcPr>
          <w:p>
            <w:pPr>
              <w:spacing w:beforeLines="0" w:line="0" w:lineRule="atLeast"/>
              <w:ind w:left="0" w:leftChars="0" w:firstLine="0" w:firstLineChars="0"/>
              <w:rPr>
                <w:sz w:val="21"/>
                <w:szCs w:val="21"/>
              </w:rPr>
            </w:pPr>
            <w:r>
              <w:rPr>
                <w:rFonts w:hint="eastAsia"/>
                <w:sz w:val="21"/>
                <w:szCs w:val="21"/>
              </w:rPr>
              <w:t>结合北六堡物流园区布设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0" w:firstLineChars="200"/>
              <w:rPr>
                <w:sz w:val="21"/>
                <w:szCs w:val="21"/>
              </w:rPr>
            </w:pPr>
          </w:p>
        </w:tc>
        <w:tc>
          <w:tcPr>
            <w:tcW w:w="1578" w:type="dxa"/>
            <w:vMerge w:val="continue"/>
          </w:tcPr>
          <w:p>
            <w:pPr>
              <w:spacing w:beforeLines="0" w:line="0" w:lineRule="atLeast"/>
              <w:ind w:left="0" w:leftChars="0" w:firstLine="420" w:firstLineChars="200"/>
              <w:rPr>
                <w:sz w:val="21"/>
                <w:szCs w:val="21"/>
              </w:rPr>
            </w:pPr>
          </w:p>
        </w:tc>
        <w:tc>
          <w:tcPr>
            <w:tcW w:w="2410" w:type="dxa"/>
            <w:gridSpan w:val="2"/>
            <w:vAlign w:val="center"/>
          </w:tcPr>
          <w:p>
            <w:pPr>
              <w:spacing w:beforeLines="0" w:line="0" w:lineRule="atLeast"/>
              <w:ind w:left="0" w:leftChars="0" w:firstLine="0" w:firstLineChars="0"/>
              <w:rPr>
                <w:sz w:val="21"/>
                <w:szCs w:val="21"/>
              </w:rPr>
            </w:pPr>
            <w:r>
              <w:rPr>
                <w:rFonts w:hint="eastAsia"/>
                <w:sz w:val="21"/>
                <w:szCs w:val="21"/>
              </w:rPr>
              <w:t>修文停车场</w:t>
            </w:r>
          </w:p>
        </w:tc>
        <w:tc>
          <w:tcPr>
            <w:tcW w:w="4019" w:type="dxa"/>
          </w:tcPr>
          <w:p>
            <w:pPr>
              <w:spacing w:beforeLines="0" w:line="0" w:lineRule="atLeast"/>
              <w:ind w:left="0" w:leftChars="0" w:firstLine="0" w:firstLineChars="0"/>
              <w:rPr>
                <w:sz w:val="21"/>
                <w:szCs w:val="21"/>
              </w:rPr>
            </w:pPr>
            <w:r>
              <w:rPr>
                <w:rFonts w:hint="eastAsia"/>
                <w:sz w:val="21"/>
                <w:szCs w:val="21"/>
              </w:rPr>
              <w:t>结合修文物流中心布设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0" w:firstLineChars="200"/>
              <w:rPr>
                <w:sz w:val="21"/>
                <w:szCs w:val="21"/>
              </w:rPr>
            </w:pPr>
          </w:p>
        </w:tc>
        <w:tc>
          <w:tcPr>
            <w:tcW w:w="1578" w:type="dxa"/>
            <w:vMerge w:val="continue"/>
          </w:tcPr>
          <w:p>
            <w:pPr>
              <w:spacing w:beforeLines="0" w:line="0" w:lineRule="atLeast"/>
              <w:ind w:left="0" w:leftChars="0" w:firstLine="420" w:firstLineChars="200"/>
              <w:rPr>
                <w:sz w:val="21"/>
                <w:szCs w:val="21"/>
              </w:rPr>
            </w:pPr>
          </w:p>
        </w:tc>
        <w:tc>
          <w:tcPr>
            <w:tcW w:w="2410" w:type="dxa"/>
            <w:gridSpan w:val="2"/>
            <w:vAlign w:val="center"/>
          </w:tcPr>
          <w:p>
            <w:pPr>
              <w:spacing w:beforeLines="0" w:line="0" w:lineRule="atLeast"/>
              <w:ind w:left="0" w:leftChars="0" w:firstLine="0" w:firstLineChars="0"/>
              <w:rPr>
                <w:sz w:val="21"/>
                <w:szCs w:val="21"/>
              </w:rPr>
            </w:pPr>
            <w:r>
              <w:rPr>
                <w:rFonts w:hint="eastAsia"/>
                <w:sz w:val="21"/>
                <w:szCs w:val="21"/>
              </w:rPr>
              <w:t>城东停车场</w:t>
            </w:r>
          </w:p>
        </w:tc>
        <w:tc>
          <w:tcPr>
            <w:tcW w:w="4019" w:type="dxa"/>
          </w:tcPr>
          <w:p>
            <w:pPr>
              <w:spacing w:beforeLines="0" w:line="0" w:lineRule="atLeast"/>
              <w:ind w:left="0" w:leftChars="0" w:firstLine="0" w:firstLineChars="0"/>
              <w:rPr>
                <w:sz w:val="21"/>
                <w:szCs w:val="21"/>
              </w:rPr>
            </w:pPr>
            <w:r>
              <w:rPr>
                <w:rFonts w:hint="eastAsia"/>
                <w:sz w:val="21"/>
                <w:szCs w:val="21"/>
              </w:rPr>
              <w:t>结合城东物流中心布设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0" w:firstLineChars="200"/>
              <w:rPr>
                <w:sz w:val="21"/>
                <w:szCs w:val="21"/>
              </w:rPr>
            </w:pPr>
          </w:p>
        </w:tc>
        <w:tc>
          <w:tcPr>
            <w:tcW w:w="1578" w:type="dxa"/>
            <w:vMerge w:val="continue"/>
          </w:tcPr>
          <w:p>
            <w:pPr>
              <w:spacing w:beforeLines="0" w:line="0" w:lineRule="atLeast"/>
              <w:ind w:left="0" w:leftChars="0" w:firstLine="420" w:firstLineChars="200"/>
              <w:rPr>
                <w:sz w:val="21"/>
                <w:szCs w:val="21"/>
              </w:rPr>
            </w:pPr>
          </w:p>
        </w:tc>
        <w:tc>
          <w:tcPr>
            <w:tcW w:w="2410" w:type="dxa"/>
            <w:gridSpan w:val="2"/>
            <w:vAlign w:val="center"/>
          </w:tcPr>
          <w:p>
            <w:pPr>
              <w:spacing w:beforeLines="0" w:line="0" w:lineRule="atLeast"/>
              <w:ind w:left="0" w:leftChars="0" w:firstLine="0" w:firstLineChars="0"/>
              <w:rPr>
                <w:sz w:val="21"/>
                <w:szCs w:val="21"/>
              </w:rPr>
            </w:pPr>
            <w:r>
              <w:rPr>
                <w:rFonts w:hint="eastAsia"/>
                <w:sz w:val="21"/>
                <w:szCs w:val="21"/>
              </w:rPr>
              <w:t>城东客运站停车场</w:t>
            </w:r>
          </w:p>
        </w:tc>
        <w:tc>
          <w:tcPr>
            <w:tcW w:w="4019" w:type="dxa"/>
          </w:tcPr>
          <w:p>
            <w:pPr>
              <w:spacing w:beforeLines="0" w:line="0" w:lineRule="atLeast"/>
              <w:ind w:left="0" w:leftChars="0" w:firstLine="0" w:firstLineChars="0"/>
              <w:rPr>
                <w:sz w:val="21"/>
                <w:szCs w:val="21"/>
              </w:rPr>
            </w:pPr>
            <w:r>
              <w:rPr>
                <w:rFonts w:hint="eastAsia"/>
                <w:sz w:val="21"/>
                <w:szCs w:val="21"/>
              </w:rPr>
              <w:t>结合城东客运站布设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0" w:firstLineChars="200"/>
              <w:rPr>
                <w:sz w:val="21"/>
                <w:szCs w:val="21"/>
              </w:rPr>
            </w:pPr>
          </w:p>
        </w:tc>
        <w:tc>
          <w:tcPr>
            <w:tcW w:w="1578" w:type="dxa"/>
            <w:vMerge w:val="continue"/>
          </w:tcPr>
          <w:p>
            <w:pPr>
              <w:spacing w:beforeLines="0" w:line="0" w:lineRule="atLeast"/>
              <w:ind w:left="0" w:leftChars="0" w:firstLine="420" w:firstLineChars="200"/>
              <w:rPr>
                <w:sz w:val="21"/>
                <w:szCs w:val="21"/>
              </w:rPr>
            </w:pPr>
          </w:p>
        </w:tc>
        <w:tc>
          <w:tcPr>
            <w:tcW w:w="2410" w:type="dxa"/>
            <w:gridSpan w:val="2"/>
            <w:vAlign w:val="center"/>
          </w:tcPr>
          <w:p>
            <w:pPr>
              <w:spacing w:beforeLines="0" w:line="0" w:lineRule="atLeast"/>
              <w:ind w:left="0" w:leftChars="0" w:firstLine="0" w:firstLineChars="0"/>
              <w:rPr>
                <w:sz w:val="21"/>
                <w:szCs w:val="21"/>
              </w:rPr>
            </w:pPr>
            <w:r>
              <w:rPr>
                <w:rFonts w:hint="eastAsia"/>
                <w:sz w:val="21"/>
                <w:szCs w:val="21"/>
              </w:rPr>
              <w:t>中都北路停车场</w:t>
            </w:r>
          </w:p>
        </w:tc>
        <w:tc>
          <w:tcPr>
            <w:tcW w:w="4019" w:type="dxa"/>
          </w:tcPr>
          <w:p>
            <w:pPr>
              <w:spacing w:beforeLines="0" w:line="0" w:lineRule="atLeast"/>
              <w:ind w:left="0" w:leftChars="0" w:firstLine="0" w:firstLineChars="0"/>
              <w:rPr>
                <w:sz w:val="21"/>
                <w:szCs w:val="21"/>
              </w:rPr>
            </w:pPr>
            <w:r>
              <w:rPr>
                <w:rFonts w:hint="eastAsia"/>
                <w:sz w:val="21"/>
                <w:szCs w:val="21"/>
              </w:rPr>
              <w:t>中医院西北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15" w:type="dxa"/>
            <w:vMerge w:val="continue"/>
          </w:tcPr>
          <w:p>
            <w:pPr>
              <w:spacing w:beforeLines="0" w:line="0" w:lineRule="atLeast"/>
              <w:ind w:left="0" w:leftChars="0" w:firstLine="420" w:firstLineChars="200"/>
              <w:rPr>
                <w:sz w:val="21"/>
                <w:szCs w:val="21"/>
              </w:rPr>
            </w:pPr>
          </w:p>
        </w:tc>
        <w:tc>
          <w:tcPr>
            <w:tcW w:w="1578" w:type="dxa"/>
            <w:vMerge w:val="continue"/>
          </w:tcPr>
          <w:p>
            <w:pPr>
              <w:spacing w:beforeLines="0" w:line="0" w:lineRule="atLeast"/>
              <w:ind w:left="0" w:leftChars="0" w:firstLine="420" w:firstLineChars="200"/>
              <w:rPr>
                <w:sz w:val="21"/>
                <w:szCs w:val="21"/>
              </w:rPr>
            </w:pPr>
          </w:p>
        </w:tc>
        <w:tc>
          <w:tcPr>
            <w:tcW w:w="2410" w:type="dxa"/>
            <w:gridSpan w:val="2"/>
            <w:vAlign w:val="center"/>
          </w:tcPr>
          <w:p>
            <w:pPr>
              <w:spacing w:beforeLines="0" w:line="0" w:lineRule="atLeast"/>
              <w:ind w:left="0" w:leftChars="0" w:firstLine="0" w:firstLineChars="0"/>
              <w:rPr>
                <w:sz w:val="21"/>
                <w:szCs w:val="21"/>
              </w:rPr>
            </w:pPr>
            <w:r>
              <w:rPr>
                <w:rFonts w:hint="eastAsia"/>
                <w:sz w:val="21"/>
                <w:szCs w:val="21"/>
              </w:rPr>
              <w:t>潇河客运站停车场</w:t>
            </w:r>
          </w:p>
        </w:tc>
        <w:tc>
          <w:tcPr>
            <w:tcW w:w="4019" w:type="dxa"/>
          </w:tcPr>
          <w:p>
            <w:pPr>
              <w:spacing w:beforeLines="0" w:line="0" w:lineRule="atLeast"/>
              <w:ind w:left="0" w:leftChars="0" w:firstLine="0" w:firstLineChars="0"/>
              <w:rPr>
                <w:sz w:val="21"/>
                <w:szCs w:val="21"/>
              </w:rPr>
            </w:pPr>
            <w:r>
              <w:rPr>
                <w:rFonts w:hint="eastAsia"/>
                <w:sz w:val="21"/>
                <w:szCs w:val="21"/>
              </w:rPr>
              <w:t>结合潇河客运站布设</w:t>
            </w:r>
          </w:p>
        </w:tc>
      </w:tr>
    </w:tbl>
    <w:p>
      <w:pPr>
        <w:pStyle w:val="3"/>
        <w:spacing w:before="156" w:after="156"/>
        <w:rPr>
          <w:rFonts w:ascii="Arial" w:hAnsi="Arial"/>
        </w:rPr>
        <w:sectPr>
          <w:pgSz w:w="11906" w:h="16838"/>
          <w:pgMar w:top="1440" w:right="1800" w:bottom="1440" w:left="1800" w:header="851" w:footer="992" w:gutter="0"/>
          <w:cols w:space="425" w:num="1"/>
          <w:docGrid w:type="lines" w:linePitch="312" w:charSpace="0"/>
        </w:sectPr>
      </w:pPr>
    </w:p>
    <w:p>
      <w:pPr>
        <w:pStyle w:val="3"/>
        <w:spacing w:before="156" w:after="156"/>
        <w:rPr>
          <w:rFonts w:ascii="Arial" w:hAnsi="Arial"/>
        </w:rPr>
      </w:pPr>
      <w:bookmarkStart w:id="379" w:name="_Toc492850151"/>
      <w:r>
        <w:rPr>
          <w:rFonts w:hint="eastAsia" w:ascii="Arial" w:hAnsi="Arial"/>
        </w:rPr>
        <w:t>附表12：中心城区规划</w:t>
      </w:r>
      <w:r>
        <w:rPr>
          <w:rFonts w:ascii="Arial" w:hAnsi="Arial"/>
        </w:rPr>
        <w:t>道路一览表</w:t>
      </w:r>
      <w:bookmarkEnd w:id="379"/>
    </w:p>
    <w:tbl>
      <w:tblPr>
        <w:tblStyle w:val="55"/>
        <w:tblW w:w="827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570"/>
        <w:gridCol w:w="1971"/>
        <w:gridCol w:w="3129"/>
        <w:gridCol w:w="975"/>
        <w:gridCol w:w="16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tblHeader/>
          <w:jc w:val="center"/>
        </w:trPr>
        <w:tc>
          <w:tcPr>
            <w:tcW w:w="570" w:type="dxa"/>
            <w:shd w:val="clear" w:color="auto" w:fill="FFFFFF" w:themeFill="background1"/>
            <w:vAlign w:val="center"/>
          </w:tcPr>
          <w:p>
            <w:pPr>
              <w:spacing w:beforeLines="0" w:line="0" w:lineRule="atLeast"/>
              <w:ind w:left="0" w:leftChars="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编号</w:t>
            </w:r>
          </w:p>
        </w:tc>
        <w:tc>
          <w:tcPr>
            <w:tcW w:w="1971" w:type="dxa"/>
            <w:shd w:val="clear" w:color="auto" w:fill="FFFFFF" w:themeFill="background1"/>
            <w:vAlign w:val="center"/>
          </w:tcPr>
          <w:p>
            <w:pPr>
              <w:spacing w:beforeLines="0" w:line="0" w:lineRule="atLeast"/>
              <w:ind w:left="0" w:leftChars="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道路名称</w:t>
            </w:r>
          </w:p>
        </w:tc>
        <w:tc>
          <w:tcPr>
            <w:tcW w:w="3129" w:type="dxa"/>
            <w:shd w:val="clear" w:color="auto" w:fill="FFFFFF" w:themeFill="background1"/>
            <w:vAlign w:val="center"/>
          </w:tcPr>
          <w:p>
            <w:pPr>
              <w:spacing w:beforeLines="0" w:line="0" w:lineRule="atLeast"/>
              <w:ind w:left="0" w:leftChars="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起止点</w:t>
            </w:r>
          </w:p>
        </w:tc>
        <w:tc>
          <w:tcPr>
            <w:tcW w:w="975" w:type="dxa"/>
            <w:shd w:val="clear" w:color="auto" w:fill="FFFFFF" w:themeFill="background1"/>
            <w:vAlign w:val="center"/>
          </w:tcPr>
          <w:p>
            <w:pPr>
              <w:spacing w:beforeLines="0" w:line="0" w:lineRule="atLeast"/>
              <w:ind w:left="0" w:leftChars="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等级</w:t>
            </w:r>
          </w:p>
        </w:tc>
        <w:tc>
          <w:tcPr>
            <w:tcW w:w="1625" w:type="dxa"/>
            <w:shd w:val="clear" w:color="auto" w:fill="FFFFFF" w:themeFill="background1"/>
            <w:vAlign w:val="center"/>
          </w:tcPr>
          <w:p>
            <w:pPr>
              <w:spacing w:beforeLines="0" w:line="0" w:lineRule="atLeast"/>
              <w:ind w:left="0" w:leftChars="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红线宽度（m）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太旧快速路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东环高速公路</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108国道</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快速路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环城东路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太旧高速出入口</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环城南路</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快速路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综合通道</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杨盘路</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环城南路</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快速路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龙湖街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综合通道</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108国道</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快速路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环城南路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太原一号</w:t>
            </w:r>
            <w:r>
              <w:rPr>
                <w:rFonts w:hint="eastAsia"/>
                <w:color w:val="000000" w:themeColor="text1"/>
                <w:sz w:val="21"/>
                <w:szCs w:val="21"/>
                <w14:textFill>
                  <w14:solidFill>
                    <w14:schemeClr w14:val="tx1"/>
                  </w14:solidFill>
                </w14:textFill>
              </w:rPr>
              <w:t>路</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108国道</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快速路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trHeight w:val="308" w:hRule="atLeast"/>
          <w:jc w:val="center"/>
        </w:trPr>
        <w:tc>
          <w:tcPr>
            <w:tcW w:w="570"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971"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汇通路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鸣谦大街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使赵大街</w:t>
            </w:r>
          </w:p>
        </w:tc>
        <w:tc>
          <w:tcPr>
            <w:tcW w:w="975"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快速路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570"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1971"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使赵大街-顺城街</w:t>
            </w:r>
          </w:p>
        </w:tc>
        <w:tc>
          <w:tcPr>
            <w:tcW w:w="975"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汇通南路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顺城</w:t>
            </w:r>
            <w:r>
              <w:rPr>
                <w:color w:val="000000" w:themeColor="text1"/>
                <w:sz w:val="21"/>
                <w:szCs w:val="21"/>
                <w14:textFill>
                  <w14:solidFill>
                    <w14:schemeClr w14:val="tx1"/>
                  </w14:solidFill>
                </w14:textFill>
              </w:rPr>
              <w:t>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小牛街</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快速路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小牛街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综合通道-榆祁高速</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快速路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龙城大道</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太原一号</w:t>
            </w:r>
            <w:r>
              <w:rPr>
                <w:rFonts w:hint="eastAsia"/>
                <w:color w:val="000000" w:themeColor="text1"/>
                <w:sz w:val="21"/>
                <w:szCs w:val="21"/>
                <w14:textFill>
                  <w14:solidFill>
                    <w14:schemeClr w14:val="tx1"/>
                  </w14:solidFill>
                </w14:textFill>
              </w:rPr>
              <w:t>路</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108国道</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鸣谦大街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太原</w:t>
            </w:r>
            <w:r>
              <w:rPr>
                <w:rFonts w:hint="eastAsia"/>
                <w:color w:val="000000" w:themeColor="text1"/>
                <w:sz w:val="21"/>
                <w:szCs w:val="21"/>
                <w14:textFill>
                  <w14:solidFill>
                    <w14:schemeClr w14:val="tx1"/>
                  </w14:solidFill>
                </w14:textFill>
              </w:rPr>
              <w:t>一</w:t>
            </w:r>
            <w:r>
              <w:rPr>
                <w:color w:val="000000" w:themeColor="text1"/>
                <w:sz w:val="21"/>
                <w:szCs w:val="21"/>
                <w14:textFill>
                  <w14:solidFill>
                    <w14:schemeClr w14:val="tx1"/>
                  </w14:solidFill>
                </w14:textFill>
              </w:rPr>
              <w:t>号</w:t>
            </w:r>
            <w:r>
              <w:rPr>
                <w:rFonts w:hint="eastAsia"/>
                <w:color w:val="000000" w:themeColor="text1"/>
                <w:sz w:val="21"/>
                <w:szCs w:val="21"/>
                <w14:textFill>
                  <w14:solidFill>
                    <w14:schemeClr w14:val="tx1"/>
                  </w14:solidFill>
                </w14:textFill>
              </w:rPr>
              <w:t>路</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环城东路</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文津街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太原一号</w:t>
            </w:r>
            <w:r>
              <w:rPr>
                <w:rFonts w:hint="eastAsia"/>
                <w:color w:val="000000" w:themeColor="text1"/>
                <w:sz w:val="21"/>
                <w:szCs w:val="21"/>
                <w14:textFill>
                  <w14:solidFill>
                    <w14:schemeClr w14:val="tx1"/>
                  </w14:solidFill>
                </w14:textFill>
              </w:rPr>
              <w:t>路</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环城东路</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大学街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太原</w:t>
            </w:r>
            <w:r>
              <w:rPr>
                <w:rFonts w:hint="eastAsia"/>
                <w:color w:val="000000" w:themeColor="text1"/>
                <w:sz w:val="21"/>
                <w:szCs w:val="21"/>
                <w14:textFill>
                  <w14:solidFill>
                    <w14:schemeClr w14:val="tx1"/>
                  </w14:solidFill>
                </w14:textFill>
              </w:rPr>
              <w:t>一</w:t>
            </w:r>
            <w:r>
              <w:rPr>
                <w:color w:val="000000" w:themeColor="text1"/>
                <w:sz w:val="21"/>
                <w:szCs w:val="21"/>
                <w14:textFill>
                  <w14:solidFill>
                    <w14:schemeClr w14:val="tx1"/>
                  </w14:solidFill>
                </w14:textFill>
              </w:rPr>
              <w:t>号</w:t>
            </w:r>
            <w:r>
              <w:rPr>
                <w:rFonts w:hint="eastAsia"/>
                <w:color w:val="000000" w:themeColor="text1"/>
                <w:sz w:val="21"/>
                <w:szCs w:val="21"/>
                <w14:textFill>
                  <w14:solidFill>
                    <w14:schemeClr w14:val="tx1"/>
                  </w14:solidFill>
                </w14:textFill>
              </w:rPr>
              <w:t>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环城东路</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文华街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汇通路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108国道</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14</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汇丰街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汇通</w:t>
            </w:r>
            <w:r>
              <w:rPr>
                <w:color w:val="000000" w:themeColor="text1"/>
                <w:sz w:val="21"/>
                <w:szCs w:val="21"/>
                <w14:textFill>
                  <w14:solidFill>
                    <w14:schemeClr w14:val="tx1"/>
                  </w14:solidFill>
                </w14:textFill>
              </w:rPr>
              <w:t>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环城东路</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广安街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秋</w:t>
            </w:r>
            <w:r>
              <w:rPr>
                <w:rFonts w:hint="eastAsia"/>
                <w:color w:val="000000" w:themeColor="text1"/>
                <w:sz w:val="21"/>
                <w:szCs w:val="21"/>
                <w:lang w:val="en-US" w:eastAsia="zh-CN"/>
                <w14:textFill>
                  <w14:solidFill>
                    <w14:schemeClr w14:val="tx1"/>
                  </w14:solidFill>
                </w14:textFill>
              </w:rPr>
              <w:t>村</w:t>
            </w:r>
            <w:r>
              <w:rPr>
                <w:rFonts w:hint="eastAsia"/>
                <w:color w:val="000000" w:themeColor="text1"/>
                <w:sz w:val="21"/>
                <w:szCs w:val="21"/>
                <w14:textFill>
                  <w14:solidFill>
                    <w14:schemeClr w14:val="tx1"/>
                  </w14:solidFill>
                </w14:textFill>
              </w:rPr>
              <w:t>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108国道</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16</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迎宾西街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太原一号路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汇通路</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17</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迎宾街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汇通路</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环城东路</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蕴华街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综合通道</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环城东路</w:t>
            </w:r>
          </w:p>
        </w:tc>
        <w:tc>
          <w:tcPr>
            <w:tcW w:w="975" w:type="dxa"/>
            <w:shd w:val="clear" w:color="auto" w:fill="FFFFFF" w:themeFill="background1"/>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9</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顺城街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新站南街-榆祁高速口</w:t>
            </w:r>
          </w:p>
        </w:tc>
        <w:tc>
          <w:tcPr>
            <w:tcW w:w="97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创业街（八号路）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太原一号路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园区西路</w:t>
            </w:r>
          </w:p>
        </w:tc>
        <w:tc>
          <w:tcPr>
            <w:tcW w:w="97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2" w:hRule="atLeast"/>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21</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思凤街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太原一号路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环城东路</w:t>
            </w:r>
          </w:p>
        </w:tc>
        <w:tc>
          <w:tcPr>
            <w:tcW w:w="97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vMerge w:val="restart"/>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w:t>
            </w:r>
          </w:p>
        </w:tc>
        <w:tc>
          <w:tcPr>
            <w:tcW w:w="1971" w:type="dxa"/>
            <w:vMerge w:val="restart"/>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锦纶路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环城东路-广安街</w:t>
            </w:r>
          </w:p>
        </w:tc>
        <w:tc>
          <w:tcPr>
            <w:tcW w:w="975" w:type="dxa"/>
            <w:vMerge w:val="restart"/>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vMerge w:val="continue"/>
            <w:shd w:val="clear" w:color="auto" w:fill="FFFFFF" w:themeFill="background1"/>
            <w:vAlign w:val="center"/>
          </w:tcPr>
          <w:p>
            <w:pPr>
              <w:spacing w:beforeLines="0" w:line="0" w:lineRule="atLeast"/>
              <w:ind w:left="0" w:leftChars="0"/>
              <w:rPr>
                <w:rFonts w:hint="eastAsia"/>
                <w:color w:val="000000" w:themeColor="text1"/>
                <w:sz w:val="21"/>
                <w:szCs w:val="21"/>
                <w14:textFill>
                  <w14:solidFill>
                    <w14:schemeClr w14:val="tx1"/>
                  </w14:solidFill>
                </w14:textFill>
              </w:rPr>
            </w:pPr>
          </w:p>
        </w:tc>
        <w:tc>
          <w:tcPr>
            <w:tcW w:w="1971" w:type="dxa"/>
            <w:vMerge w:val="continue"/>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p>
        </w:tc>
        <w:tc>
          <w:tcPr>
            <w:tcW w:w="3129" w:type="dxa"/>
            <w:shd w:val="clear" w:color="auto" w:fill="FFFFFF" w:themeFill="background1"/>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广安街-思凤街</w:t>
            </w:r>
          </w:p>
        </w:tc>
        <w:tc>
          <w:tcPr>
            <w:tcW w:w="975" w:type="dxa"/>
            <w:vMerge w:val="continue"/>
            <w:shd w:val="clear" w:color="auto" w:fill="FFFFFF" w:themeFill="background1"/>
            <w:vAlign w:val="center"/>
          </w:tcPr>
          <w:p>
            <w:pPr>
              <w:spacing w:beforeLines="0" w:line="0" w:lineRule="atLeast"/>
              <w:ind w:left="0" w:leftChars="0"/>
              <w:rPr>
                <w:rFonts w:hint="eastAsia"/>
                <w:color w:val="000000" w:themeColor="text1"/>
                <w:sz w:val="21"/>
                <w:szCs w:val="21"/>
                <w14:textFill>
                  <w14:solidFill>
                    <w14:schemeClr w14:val="tx1"/>
                  </w14:solidFill>
                </w14:textFill>
              </w:rPr>
            </w:pP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23</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中都路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龙城大道</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环城南路</w:t>
            </w:r>
          </w:p>
        </w:tc>
        <w:tc>
          <w:tcPr>
            <w:tcW w:w="97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新建北路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龙城大道</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龙湖街</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新建路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龙湖街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环城南路</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26</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经纬路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使</w:t>
            </w:r>
            <w:r>
              <w:rPr>
                <w:rFonts w:hint="eastAsia"/>
                <w:color w:val="000000" w:themeColor="text1"/>
                <w:sz w:val="21"/>
                <w:szCs w:val="21"/>
                <w14:textFill>
                  <w14:solidFill>
                    <w14:schemeClr w14:val="tx1"/>
                  </w14:solidFill>
                </w14:textFill>
              </w:rPr>
              <w:t>赵大街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环城南路</w:t>
            </w:r>
          </w:p>
        </w:tc>
        <w:tc>
          <w:tcPr>
            <w:tcW w:w="97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trHeight w:val="41" w:hRule="atLeast"/>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27</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园区路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龙湖街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环城南路</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王杜路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鸣谦大街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龙湖街</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9" w:hRule="atLeast"/>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29</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环城西路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汇丰</w:t>
            </w:r>
            <w:r>
              <w:rPr>
                <w:rFonts w:hint="eastAsia"/>
                <w:color w:val="000000" w:themeColor="text1"/>
                <w:sz w:val="21"/>
                <w:szCs w:val="21"/>
                <w:lang w:val="en-US" w:eastAsia="zh-CN"/>
                <w14:textFill>
                  <w14:solidFill>
                    <w14:schemeClr w14:val="tx1"/>
                  </w14:solidFill>
                </w14:textFill>
              </w:rPr>
              <w:t>街</w:t>
            </w:r>
            <w:r>
              <w:rPr>
                <w:color w:val="000000" w:themeColor="text1"/>
                <w:sz w:val="21"/>
                <w:szCs w:val="21"/>
                <w14:textFill>
                  <w14:solidFill>
                    <w14:schemeClr w14:val="tx1"/>
                  </w14:solidFill>
                </w14:textFill>
              </w:rPr>
              <w:softHyphen/>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环城南路</w:t>
            </w:r>
          </w:p>
        </w:tc>
        <w:tc>
          <w:tcPr>
            <w:tcW w:w="97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新站南路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站前街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环城南路</w:t>
            </w:r>
          </w:p>
        </w:tc>
        <w:tc>
          <w:tcPr>
            <w:tcW w:w="97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31</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西荣</w:t>
            </w:r>
            <w:r>
              <w:rPr>
                <w:color w:val="000000" w:themeColor="text1"/>
                <w:sz w:val="21"/>
                <w:szCs w:val="21"/>
                <w14:textFill>
                  <w14:solidFill>
                    <w14:schemeClr w14:val="tx1"/>
                  </w14:solidFill>
                </w14:textFill>
              </w:rPr>
              <w:t>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站前街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环城南路</w:t>
            </w:r>
          </w:p>
        </w:tc>
        <w:tc>
          <w:tcPr>
            <w:tcW w:w="97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新站西路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站前街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石油北街</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33</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国道环城线</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小牛街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小赵南街</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r>
              <w:rPr>
                <w:rFonts w:hint="eastAsia"/>
                <w:color w:val="000000" w:themeColor="text1"/>
                <w:sz w:val="21"/>
                <w:szCs w:val="21"/>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34</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西墕西路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环城南路-榆祁高速</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小赵东路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小牛街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小赵南街</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36</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铁东路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南要南街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小赵南街</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37</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铁西路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汇通南路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小赵南街</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怀仁东路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环城南路-铁西路</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长寿西路</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王郝北街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小赵南街</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王郝北街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综合通道</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长寿西路</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41</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南要南街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西墕西路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铁西路</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42</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滨河北街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小牛街—综合通道</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43</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滨河南街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小牛街—综合通道</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44</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东长寿街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国道环城线—综合通道</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w:t>
            </w:r>
          </w:p>
        </w:tc>
        <w:tc>
          <w:tcPr>
            <w:tcW w:w="1971"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小赵南街</w:t>
            </w:r>
          </w:p>
        </w:tc>
        <w:tc>
          <w:tcPr>
            <w:tcW w:w="3129"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榆祁高速</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综合通道</w:t>
            </w:r>
          </w:p>
        </w:tc>
        <w:tc>
          <w:tcPr>
            <w:tcW w:w="975" w:type="dxa"/>
            <w:shd w:val="clear" w:color="auto" w:fill="FFFFFF" w:themeFill="background1"/>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shd w:val="clear" w:color="auto" w:fill="auto"/>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纬七街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王杜路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中都北路</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shd w:val="clear" w:color="auto" w:fill="auto"/>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47</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汇阜街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秋</w:t>
            </w:r>
            <w:r>
              <w:rPr>
                <w:rFonts w:hint="eastAsia"/>
                <w:color w:val="000000" w:themeColor="text1"/>
                <w:sz w:val="21"/>
                <w:szCs w:val="21"/>
                <w:lang w:val="en-US" w:eastAsia="zh-CN"/>
                <w14:textFill>
                  <w14:solidFill>
                    <w14:schemeClr w14:val="tx1"/>
                  </w14:solidFill>
                </w14:textFill>
              </w:rPr>
              <w:t>村</w:t>
            </w:r>
            <w:r>
              <w:rPr>
                <w:rFonts w:hint="eastAsia"/>
                <w:color w:val="000000" w:themeColor="text1"/>
                <w:sz w:val="21"/>
                <w:szCs w:val="21"/>
                <w14:textFill>
                  <w14:solidFill>
                    <w14:schemeClr w14:val="tx1"/>
                  </w14:solidFill>
                </w14:textFill>
              </w:rPr>
              <w:t>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环城东路</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shd w:val="clear" w:color="auto" w:fill="auto"/>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凤翔街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秋</w:t>
            </w:r>
            <w:r>
              <w:rPr>
                <w:rFonts w:hint="eastAsia"/>
                <w:color w:val="000000" w:themeColor="text1"/>
                <w:sz w:val="21"/>
                <w:szCs w:val="21"/>
                <w:lang w:val="en-US" w:eastAsia="zh-CN"/>
                <w14:textFill>
                  <w14:solidFill>
                    <w14:schemeClr w14:val="tx1"/>
                  </w14:solidFill>
                </w14:textFill>
              </w:rPr>
              <w:t>村</w:t>
            </w:r>
            <w:r>
              <w:rPr>
                <w:rFonts w:hint="eastAsia"/>
                <w:color w:val="000000" w:themeColor="text1"/>
                <w:sz w:val="21"/>
                <w:szCs w:val="21"/>
                <w14:textFill>
                  <w14:solidFill>
                    <w14:schemeClr w14:val="tx1"/>
                  </w14:solidFill>
                </w14:textFill>
              </w:rPr>
              <w:t>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环城东路</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shd w:val="clear" w:color="auto" w:fill="auto"/>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49</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文苑街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秋</w:t>
            </w:r>
            <w:r>
              <w:rPr>
                <w:rFonts w:hint="eastAsia"/>
                <w:color w:val="000000" w:themeColor="text1"/>
                <w:sz w:val="21"/>
                <w:szCs w:val="21"/>
                <w:lang w:val="en-US" w:eastAsia="zh-CN"/>
                <w14:textFill>
                  <w14:solidFill>
                    <w14:schemeClr w14:val="tx1"/>
                  </w14:solidFill>
                </w14:textFill>
              </w:rPr>
              <w:t>村</w:t>
            </w:r>
            <w:r>
              <w:rPr>
                <w:rFonts w:hint="eastAsia"/>
                <w:color w:val="000000" w:themeColor="text1"/>
                <w:sz w:val="21"/>
                <w:szCs w:val="21"/>
                <w14:textFill>
                  <w14:solidFill>
                    <w14:schemeClr w14:val="tx1"/>
                  </w14:solidFill>
                </w14:textFill>
              </w:rPr>
              <w:t>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环城东路</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971"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体育街</w:t>
            </w:r>
          </w:p>
        </w:tc>
        <w:tc>
          <w:tcPr>
            <w:tcW w:w="3129"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锦纶北路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环城东路</w:t>
            </w:r>
          </w:p>
        </w:tc>
        <w:tc>
          <w:tcPr>
            <w:tcW w:w="97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使赵大街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太原一号</w:t>
            </w:r>
            <w:r>
              <w:rPr>
                <w:rFonts w:hint="eastAsia"/>
                <w:color w:val="000000" w:themeColor="text1"/>
                <w:sz w:val="21"/>
                <w:szCs w:val="21"/>
                <w14:textFill>
                  <w14:solidFill>
                    <w14:schemeClr w14:val="tx1"/>
                  </w14:solidFill>
                </w14:textFill>
              </w:rPr>
              <w:t>路</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汇通路</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安宁街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太原一号路</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环城东路</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53</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昭余街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环城西路</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汇通路</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54</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新站东街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新站西路</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汇通路</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1971"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新生</w:t>
            </w:r>
            <w:r>
              <w:rPr>
                <w:rFonts w:hint="eastAsia"/>
                <w:color w:val="000000" w:themeColor="text1"/>
                <w:sz w:val="21"/>
                <w:szCs w:val="21"/>
                <w14:textFill>
                  <w14:solidFill>
                    <w14:schemeClr w14:val="tx1"/>
                  </w14:solidFill>
                </w14:textFill>
              </w:rPr>
              <w:t>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九号路</w:t>
            </w:r>
            <w:r>
              <w:rPr>
                <w:rFonts w:hint="eastAsia"/>
                <w:color w:val="000000" w:themeColor="text1"/>
                <w:sz w:val="21"/>
                <w:szCs w:val="21"/>
                <w:lang w:eastAsia="zh-CN"/>
                <w14:textFill>
                  <w14:solidFill>
                    <w14:schemeClr w14:val="tx1"/>
                  </w14:solidFill>
                </w14:textFill>
              </w:rPr>
              <w:t>）</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西荣路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西荣南</w:t>
            </w:r>
            <w:r>
              <w:rPr>
                <w:color w:val="000000" w:themeColor="text1"/>
                <w:sz w:val="21"/>
                <w:szCs w:val="21"/>
                <w14:textFill>
                  <w14:solidFill>
                    <w14:schemeClr w14:val="tx1"/>
                  </w14:solidFill>
                </w14:textFill>
              </w:rPr>
              <w:t>路</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1971"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3129"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新站南路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园区路</w:t>
            </w:r>
          </w:p>
        </w:tc>
        <w:tc>
          <w:tcPr>
            <w:tcW w:w="975" w:type="dxa"/>
            <w:shd w:val="clear" w:color="auto" w:fill="D8D8D8" w:themeFill="background1" w:themeFillShade="D9"/>
            <w:vAlign w:val="top"/>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1971"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3129"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经纬路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新建路</w:t>
            </w:r>
          </w:p>
        </w:tc>
        <w:tc>
          <w:tcPr>
            <w:tcW w:w="975" w:type="dxa"/>
            <w:shd w:val="clear" w:color="auto" w:fill="D8D8D8" w:themeFill="background1" w:themeFillShade="D9"/>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r>
              <w:rPr>
                <w:rFonts w:hint="eastAsia"/>
                <w:color w:val="000000" w:themeColor="text1"/>
                <w:sz w:val="21"/>
                <w:szCs w:val="21"/>
                <w:lang w:val="en-US" w:eastAsia="zh-CN"/>
                <w14:textFill>
                  <w14:solidFill>
                    <w14:schemeClr w14:val="tx1"/>
                  </w14:solidFill>
                </w14:textFill>
              </w:rPr>
              <w:t>6</w:t>
            </w:r>
          </w:p>
        </w:tc>
        <w:tc>
          <w:tcPr>
            <w:tcW w:w="1971"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石油北街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七号路</w:t>
            </w:r>
            <w:r>
              <w:rPr>
                <w:rFonts w:hint="eastAsia"/>
                <w:color w:val="000000" w:themeColor="text1"/>
                <w:sz w:val="21"/>
                <w:szCs w:val="21"/>
                <w:lang w:eastAsia="zh-CN"/>
                <w14:textFill>
                  <w14:solidFill>
                    <w14:schemeClr w14:val="tx1"/>
                  </w14:solidFill>
                </w14:textFill>
              </w:rPr>
              <w:t>）</w:t>
            </w:r>
          </w:p>
        </w:tc>
        <w:tc>
          <w:tcPr>
            <w:tcW w:w="3129"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西荣路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园区</w:t>
            </w:r>
            <w:r>
              <w:rPr>
                <w:rFonts w:hint="eastAsia"/>
                <w:color w:val="000000" w:themeColor="text1"/>
                <w:sz w:val="21"/>
                <w:szCs w:val="21"/>
                <w14:textFill>
                  <w14:solidFill>
                    <w14:schemeClr w14:val="tx1"/>
                  </w14:solidFill>
                </w14:textFill>
              </w:rPr>
              <w:t>路</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1971"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3129"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郭家堡路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汇通路</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57</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建业街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四号路</w:t>
            </w:r>
            <w:r>
              <w:rPr>
                <w:rFonts w:hint="eastAsia"/>
                <w:color w:val="000000" w:themeColor="text1"/>
                <w:sz w:val="21"/>
                <w:szCs w:val="21"/>
                <w:lang w:eastAsia="zh-CN"/>
                <w14:textFill>
                  <w14:solidFill>
                    <w14:schemeClr w14:val="tx1"/>
                  </w14:solidFill>
                </w14:textFill>
              </w:rPr>
              <w:t>）</w:t>
            </w:r>
          </w:p>
        </w:tc>
        <w:tc>
          <w:tcPr>
            <w:tcW w:w="3129"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西荣南路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南关路</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58</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西荣南路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站前街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环城南路</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59</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站前街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西荣南路</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新站南路</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0</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六堡路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安宁西街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环城南路</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1</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六堡西路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迎宾西街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环城南路</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2</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园区西路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新生街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环城南路</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3</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箕</w:t>
            </w:r>
            <w:r>
              <w:rPr>
                <w:rFonts w:hint="eastAsia"/>
                <w:color w:val="000000" w:themeColor="text1"/>
                <w:sz w:val="21"/>
                <w:szCs w:val="21"/>
                <w:lang w:val="en-US" w:eastAsia="zh-CN"/>
                <w14:textFill>
                  <w14:solidFill>
                    <w14:schemeClr w14:val="tx1"/>
                  </w14:solidFill>
                </w14:textFill>
              </w:rPr>
              <w:t>城</w:t>
            </w:r>
            <w:r>
              <w:rPr>
                <w:color w:val="000000" w:themeColor="text1"/>
                <w:sz w:val="21"/>
                <w:szCs w:val="21"/>
                <w14:textFill>
                  <w14:solidFill>
                    <w14:schemeClr w14:val="tx1"/>
                  </w14:solidFill>
                </w14:textFill>
              </w:rPr>
              <w:t>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昭余街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新生街</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4</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高村路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安宁西街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顺城西街</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5</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吉盛路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鸣谦大街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秋</w:t>
            </w:r>
            <w:r>
              <w:rPr>
                <w:rFonts w:hint="eastAsia"/>
                <w:color w:val="000000" w:themeColor="text1"/>
                <w:sz w:val="21"/>
                <w:szCs w:val="21"/>
                <w:lang w:val="en-US" w:eastAsia="zh-CN"/>
                <w14:textFill>
                  <w14:solidFill>
                    <w14:schemeClr w14:val="tx1"/>
                  </w14:solidFill>
                </w14:textFill>
              </w:rPr>
              <w:t>村</w:t>
            </w:r>
            <w:r>
              <w:rPr>
                <w:rFonts w:hint="eastAsia"/>
                <w:color w:val="000000" w:themeColor="text1"/>
                <w:sz w:val="21"/>
                <w:szCs w:val="21"/>
                <w14:textFill>
                  <w14:solidFill>
                    <w14:schemeClr w14:val="tx1"/>
                  </w14:solidFill>
                </w14:textFill>
              </w:rPr>
              <w:t>路</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6</w:t>
            </w:r>
          </w:p>
        </w:tc>
        <w:tc>
          <w:tcPr>
            <w:tcW w:w="1971" w:type="dxa"/>
            <w:vMerge w:val="restart"/>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秋村路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王杜路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文苑街</w:t>
            </w:r>
          </w:p>
        </w:tc>
        <w:tc>
          <w:tcPr>
            <w:tcW w:w="975"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vMerge w:val="continue"/>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p>
        </w:tc>
        <w:tc>
          <w:tcPr>
            <w:tcW w:w="1971"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文苑街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安宁街</w:t>
            </w:r>
          </w:p>
        </w:tc>
        <w:tc>
          <w:tcPr>
            <w:tcW w:w="975" w:type="dxa"/>
            <w:vMerge w:val="continue"/>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67</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思敬路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文华街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凤翔街</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68</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龙田路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文华街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龙湖街</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69</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定阳路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鸣谦大街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迎宾</w:t>
            </w:r>
            <w:r>
              <w:rPr>
                <w:rFonts w:hint="eastAsia"/>
                <w:color w:val="000000" w:themeColor="text1"/>
                <w:sz w:val="21"/>
                <w:szCs w:val="21"/>
                <w14:textFill>
                  <w14:solidFill>
                    <w14:schemeClr w14:val="tx1"/>
                  </w14:solidFill>
                </w14:textFill>
              </w:rPr>
              <w:t>街</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rFonts w:hint="eastAsia"/>
                <w:color w:val="000000" w:themeColor="text1"/>
                <w:sz w:val="21"/>
                <w:szCs w:val="21"/>
                <w:lang w:val="en-US" w:eastAsia="zh-CN"/>
                <w14:textFill>
                  <w14:solidFill>
                    <w14:schemeClr w14:val="tx1"/>
                  </w14:solidFill>
                </w14:textFill>
              </w:rPr>
              <w:t>0</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新聂路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文华街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龙湖街</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rFonts w:hint="eastAsia"/>
                <w:color w:val="000000" w:themeColor="text1"/>
                <w:sz w:val="21"/>
                <w:szCs w:val="21"/>
                <w:lang w:val="en-US" w:eastAsia="zh-CN"/>
                <w14:textFill>
                  <w14:solidFill>
                    <w14:schemeClr w14:val="tx1"/>
                  </w14:solidFill>
                </w14:textFill>
              </w:rPr>
              <w:t>1</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玉湖北路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文津街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龙湖街</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rFonts w:hint="eastAsia"/>
                <w:color w:val="000000" w:themeColor="text1"/>
                <w:sz w:val="21"/>
                <w:szCs w:val="21"/>
                <w:lang w:val="en-US" w:eastAsia="zh-CN"/>
                <w14:textFill>
                  <w14:solidFill>
                    <w14:schemeClr w14:val="tx1"/>
                  </w14:solidFill>
                </w14:textFill>
              </w:rPr>
              <w:t>2</w:t>
            </w:r>
          </w:p>
        </w:tc>
        <w:tc>
          <w:tcPr>
            <w:tcW w:w="1971"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玉湖路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龙湖街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菜园</w:t>
            </w:r>
            <w:r>
              <w:rPr>
                <w:color w:val="000000" w:themeColor="text1"/>
                <w:sz w:val="21"/>
                <w:szCs w:val="21"/>
                <w14:textFill>
                  <w14:solidFill>
                    <w14:schemeClr w14:val="tx1"/>
                  </w14:solidFill>
                </w14:textFill>
              </w:rPr>
              <w:t>街</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1971"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3129"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菜园街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蕴华街</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rFonts w:hint="eastAsia"/>
                <w:color w:val="000000" w:themeColor="text1"/>
                <w:sz w:val="21"/>
                <w:szCs w:val="21"/>
                <w:lang w:val="en-US" w:eastAsia="zh-CN"/>
                <w14:textFill>
                  <w14:solidFill>
                    <w14:schemeClr w14:val="tx1"/>
                  </w14:solidFill>
                </w14:textFill>
              </w:rPr>
              <w:t>3</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体育西</w:t>
            </w:r>
            <w:r>
              <w:rPr>
                <w:color w:val="000000" w:themeColor="text1"/>
                <w:sz w:val="21"/>
                <w:szCs w:val="21"/>
                <w14:textFill>
                  <w14:solidFill>
                    <w14:schemeClr w14:val="tx1"/>
                  </w14:solidFill>
                </w14:textFill>
              </w:rPr>
              <w:t>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文华</w:t>
            </w:r>
            <w:r>
              <w:rPr>
                <w:color w:val="000000" w:themeColor="text1"/>
                <w:sz w:val="21"/>
                <w:szCs w:val="21"/>
                <w14:textFill>
                  <w14:solidFill>
                    <w14:schemeClr w14:val="tx1"/>
                  </w14:solidFill>
                </w14:textFill>
              </w:rPr>
              <w:t>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环城南路</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r>
              <w:rPr>
                <w:rFonts w:hint="eastAsia"/>
                <w:color w:val="000000" w:themeColor="text1"/>
                <w:sz w:val="21"/>
                <w:szCs w:val="21"/>
                <w:lang w:val="en-US" w:eastAsia="zh-CN"/>
                <w14:textFill>
                  <w14:solidFill>
                    <w14:schemeClr w14:val="tx1"/>
                  </w14:solidFill>
                </w14:textFill>
              </w:rPr>
              <w:t>4</w:t>
            </w:r>
          </w:p>
        </w:tc>
        <w:tc>
          <w:tcPr>
            <w:tcW w:w="1971"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经三路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文华</w:t>
            </w:r>
            <w:r>
              <w:rPr>
                <w:color w:val="000000" w:themeColor="text1"/>
                <w:sz w:val="21"/>
                <w:szCs w:val="21"/>
                <w14:textFill>
                  <w14:solidFill>
                    <w14:schemeClr w14:val="tx1"/>
                  </w14:solidFill>
                </w14:textFill>
              </w:rPr>
              <w:t>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文苑街南500米规划路</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1971" w:type="dxa"/>
            <w:vMerge w:val="continue"/>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p>
        </w:tc>
        <w:tc>
          <w:tcPr>
            <w:tcW w:w="3129"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文苑街南500米规划路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安宁街</w:t>
            </w:r>
          </w:p>
        </w:tc>
        <w:tc>
          <w:tcPr>
            <w:tcW w:w="975" w:type="dxa"/>
            <w:shd w:val="clear" w:color="auto" w:fill="D8D8D8" w:themeFill="background1" w:themeFillShade="D9"/>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经四路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文华街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龙湖街</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经五路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文华街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龙湖街</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77</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经九路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文华</w:t>
            </w:r>
            <w:r>
              <w:rPr>
                <w:color w:val="000000" w:themeColor="text1"/>
                <w:sz w:val="21"/>
                <w:szCs w:val="21"/>
                <w14:textFill>
                  <w14:solidFill>
                    <w14:schemeClr w14:val="tx1"/>
                  </w14:solidFill>
                </w14:textFill>
              </w:rPr>
              <w:t>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顺城</w:t>
            </w:r>
            <w:r>
              <w:rPr>
                <w:color w:val="000000" w:themeColor="text1"/>
                <w:sz w:val="21"/>
                <w:szCs w:val="21"/>
                <w14:textFill>
                  <w14:solidFill>
                    <w14:schemeClr w14:val="tx1"/>
                  </w14:solidFill>
                </w14:textFill>
              </w:rPr>
              <w:t>街</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vMerge w:val="restart"/>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78</w:t>
            </w:r>
          </w:p>
        </w:tc>
        <w:tc>
          <w:tcPr>
            <w:tcW w:w="1971" w:type="dxa"/>
            <w:vMerge w:val="restart"/>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韩荣路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使赵大街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蕴华西街</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vMerge w:val="continue"/>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p>
        </w:tc>
        <w:tc>
          <w:tcPr>
            <w:tcW w:w="1971" w:type="dxa"/>
            <w:vMerge w:val="continue"/>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p>
        </w:tc>
        <w:tc>
          <w:tcPr>
            <w:tcW w:w="3129"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思凤街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环城南路</w:t>
            </w:r>
          </w:p>
        </w:tc>
        <w:tc>
          <w:tcPr>
            <w:tcW w:w="97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79</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柳西路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蕴华街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环城南路</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r>
              <w:rPr>
                <w:rFonts w:hint="eastAsia"/>
                <w:color w:val="000000" w:themeColor="text1"/>
                <w:sz w:val="21"/>
                <w:szCs w:val="21"/>
                <w:lang w:val="en-US" w:eastAsia="zh-CN"/>
                <w14:textFill>
                  <w14:solidFill>
                    <w14:schemeClr w14:val="tx1"/>
                  </w14:solidFill>
                </w14:textFill>
              </w:rPr>
              <w:t>0</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郭家堡路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蕴华街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环城南路</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r>
              <w:rPr>
                <w:rFonts w:hint="eastAsia"/>
                <w:color w:val="000000" w:themeColor="text1"/>
                <w:sz w:val="21"/>
                <w:szCs w:val="21"/>
                <w:lang w:val="en-US" w:eastAsia="zh-CN"/>
                <w14:textFill>
                  <w14:solidFill>
                    <w14:schemeClr w14:val="tx1"/>
                  </w14:solidFill>
                </w14:textFill>
              </w:rPr>
              <w:t>1</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南关路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思凤街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环城南路</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r>
              <w:rPr>
                <w:rFonts w:hint="eastAsia"/>
                <w:color w:val="000000" w:themeColor="text1"/>
                <w:sz w:val="21"/>
                <w:szCs w:val="21"/>
                <w:lang w:val="en-US" w:eastAsia="zh-CN"/>
                <w14:textFill>
                  <w14:solidFill>
                    <w14:schemeClr w14:val="tx1"/>
                  </w14:solidFill>
                </w14:textFill>
              </w:rPr>
              <w:t>2</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花园路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顺城街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思凤街</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r>
              <w:rPr>
                <w:rFonts w:hint="eastAsia"/>
                <w:color w:val="000000" w:themeColor="text1"/>
                <w:sz w:val="21"/>
                <w:szCs w:val="2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r>
              <w:rPr>
                <w:rFonts w:hint="eastAsia"/>
                <w:color w:val="000000" w:themeColor="text1"/>
                <w:sz w:val="21"/>
                <w:szCs w:val="21"/>
                <w:lang w:val="en-US" w:eastAsia="zh-CN"/>
                <w14:textFill>
                  <w14:solidFill>
                    <w14:schemeClr w14:val="tx1"/>
                  </w14:solidFill>
                </w14:textFill>
              </w:rPr>
              <w:t>3</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东大街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锦纶路</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顺城街</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84</w:t>
            </w:r>
          </w:p>
        </w:tc>
        <w:tc>
          <w:tcPr>
            <w:tcW w:w="1971"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东寇路</w:t>
            </w:r>
          </w:p>
        </w:tc>
        <w:tc>
          <w:tcPr>
            <w:tcW w:w="3129"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顺城西街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环城南路</w:t>
            </w:r>
          </w:p>
        </w:tc>
        <w:tc>
          <w:tcPr>
            <w:tcW w:w="975" w:type="dxa"/>
            <w:shd w:val="clear" w:color="auto" w:fill="D8D8D8" w:themeFill="background1" w:themeFillShade="D9"/>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r>
              <w:rPr>
                <w:rFonts w:hint="eastAsia"/>
                <w:color w:val="000000" w:themeColor="text1"/>
                <w:sz w:val="21"/>
                <w:szCs w:val="21"/>
                <w:lang w:val="en-US" w:eastAsia="zh-CN"/>
                <w14:textFill>
                  <w14:solidFill>
                    <w14:schemeClr w14:val="tx1"/>
                  </w14:solidFill>
                </w14:textFill>
              </w:rPr>
              <w:t>5</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府兴路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顺城街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思凤街</w:t>
            </w:r>
          </w:p>
        </w:tc>
        <w:tc>
          <w:tcPr>
            <w:tcW w:w="975" w:type="dxa"/>
            <w:shd w:val="clear" w:color="auto" w:fill="D8D8D8" w:themeFill="background1" w:themeFillShade="D9"/>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86</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魏榆路</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龙城大道</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龙湖街</w:t>
            </w:r>
          </w:p>
        </w:tc>
        <w:tc>
          <w:tcPr>
            <w:tcW w:w="975" w:type="dxa"/>
            <w:shd w:val="clear" w:color="auto" w:fill="FFFFFF" w:themeFill="background1"/>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主干路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87</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乐平街</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新建北路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锦纶路</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88</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凤鸣街</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辽阳路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新建北路</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vMerge w:val="restart"/>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89</w:t>
            </w:r>
          </w:p>
        </w:tc>
        <w:tc>
          <w:tcPr>
            <w:tcW w:w="1971" w:type="dxa"/>
            <w:vMerge w:val="restart"/>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辽阳路</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文华街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凤翔街</w:t>
            </w:r>
          </w:p>
        </w:tc>
        <w:tc>
          <w:tcPr>
            <w:tcW w:w="975" w:type="dxa"/>
            <w:shd w:val="clear" w:color="auto" w:fill="FFFFFF" w:themeFill="background1"/>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vMerge w:val="continue"/>
            <w:shd w:val="clear" w:color="auto" w:fill="FFFFFF" w:themeFill="background1"/>
            <w:vAlign w:val="center"/>
          </w:tcPr>
          <w:p>
            <w:pPr>
              <w:spacing w:beforeLines="0" w:line="0" w:lineRule="atLeast"/>
              <w:ind w:left="0" w:leftChars="0"/>
              <w:rPr>
                <w:color w:val="000000" w:themeColor="text1"/>
                <w:sz w:val="21"/>
                <w:szCs w:val="21"/>
                <w14:textFill>
                  <w14:solidFill>
                    <w14:schemeClr w14:val="tx1"/>
                  </w14:solidFill>
                </w14:textFill>
              </w:rPr>
            </w:pPr>
          </w:p>
        </w:tc>
        <w:tc>
          <w:tcPr>
            <w:tcW w:w="1971" w:type="dxa"/>
            <w:vMerge w:val="continue"/>
            <w:shd w:val="clear" w:color="auto" w:fill="FFFFFF" w:themeFill="background1"/>
            <w:vAlign w:val="center"/>
          </w:tcPr>
          <w:p>
            <w:pPr>
              <w:spacing w:beforeLines="0" w:line="0" w:lineRule="atLeast"/>
              <w:ind w:left="0" w:leftChars="0"/>
              <w:rPr>
                <w:rFonts w:hint="eastAsia"/>
                <w:color w:val="000000" w:themeColor="text1"/>
                <w:sz w:val="21"/>
                <w:szCs w:val="21"/>
                <w14:textFill>
                  <w14:solidFill>
                    <w14:schemeClr w14:val="tx1"/>
                  </w14:solidFill>
                </w14:textFill>
              </w:rPr>
            </w:pP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凤翔街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安宁街</w:t>
            </w:r>
          </w:p>
        </w:tc>
        <w:tc>
          <w:tcPr>
            <w:tcW w:w="975" w:type="dxa"/>
            <w:shd w:val="clear" w:color="auto" w:fill="FFFFFF" w:themeFill="background1"/>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康乐路</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安宁街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迎宾街</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91</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正太北路</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龙湖街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蕴华街</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92</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菜园街</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玉湖路</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93</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桥东街</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锦纶路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环城东路</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94</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仁和街</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龙田路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中都路</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95</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窑北街</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经纬路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西站街</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96</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南窑街</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汇通南路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西站街</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97</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灵石路</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使赵大街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顺城西街</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98</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和顺路</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凤翔街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安宁街</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99</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新集街</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新建南路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岭南路</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柳北东路</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蕴华街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石油北街</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101</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华广巷</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诚信路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汇通南路</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102</w:t>
            </w:r>
          </w:p>
        </w:tc>
        <w:tc>
          <w:tcPr>
            <w:tcW w:w="1971"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诚信路</w:t>
            </w:r>
          </w:p>
        </w:tc>
        <w:tc>
          <w:tcPr>
            <w:tcW w:w="3129"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安宁东街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蕴华东街</w:t>
            </w:r>
          </w:p>
        </w:tc>
        <w:tc>
          <w:tcPr>
            <w:tcW w:w="975" w:type="dxa"/>
            <w:shd w:val="clear" w:color="auto" w:fill="FFFFFF" w:themeFill="background1"/>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103</w:t>
            </w:r>
          </w:p>
        </w:tc>
        <w:tc>
          <w:tcPr>
            <w:tcW w:w="1971"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长乐街</w:t>
            </w:r>
          </w:p>
        </w:tc>
        <w:tc>
          <w:tcPr>
            <w:tcW w:w="3129"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体育西路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乐平街</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104</w:t>
            </w:r>
          </w:p>
        </w:tc>
        <w:tc>
          <w:tcPr>
            <w:tcW w:w="1971"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规划路A</w:t>
            </w:r>
          </w:p>
        </w:tc>
        <w:tc>
          <w:tcPr>
            <w:tcW w:w="3129"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中都北路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规划路锦纶北路</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105</w:t>
            </w:r>
          </w:p>
        </w:tc>
        <w:tc>
          <w:tcPr>
            <w:tcW w:w="1971"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规划路B</w:t>
            </w:r>
          </w:p>
        </w:tc>
        <w:tc>
          <w:tcPr>
            <w:tcW w:w="3129"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中都北路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锦纶北路</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106</w:t>
            </w:r>
          </w:p>
        </w:tc>
        <w:tc>
          <w:tcPr>
            <w:tcW w:w="1971"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规划路C</w:t>
            </w:r>
          </w:p>
        </w:tc>
        <w:tc>
          <w:tcPr>
            <w:tcW w:w="3129"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锦纶路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经二路</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107</w:t>
            </w:r>
          </w:p>
        </w:tc>
        <w:tc>
          <w:tcPr>
            <w:tcW w:w="1971"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规划路D</w:t>
            </w:r>
          </w:p>
        </w:tc>
        <w:tc>
          <w:tcPr>
            <w:tcW w:w="3129"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锦纶路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环城东路</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108</w:t>
            </w:r>
          </w:p>
        </w:tc>
        <w:tc>
          <w:tcPr>
            <w:tcW w:w="1971"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规划路E</w:t>
            </w:r>
          </w:p>
        </w:tc>
        <w:tc>
          <w:tcPr>
            <w:tcW w:w="3129"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站北街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玉湖路</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109</w:t>
            </w:r>
          </w:p>
        </w:tc>
        <w:tc>
          <w:tcPr>
            <w:tcW w:w="1971"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规划路F</w:t>
            </w:r>
          </w:p>
        </w:tc>
        <w:tc>
          <w:tcPr>
            <w:tcW w:w="3129"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锦纶路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环城东路</w:t>
            </w:r>
          </w:p>
        </w:tc>
        <w:tc>
          <w:tcPr>
            <w:tcW w:w="975" w:type="dxa"/>
            <w:shd w:val="clear" w:color="auto" w:fill="FFFFFF" w:themeFill="background1"/>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支路</w:t>
            </w:r>
          </w:p>
        </w:tc>
        <w:tc>
          <w:tcPr>
            <w:tcW w:w="1625" w:type="dxa"/>
            <w:shd w:val="clear" w:color="auto" w:fill="FFFFFF" w:themeFill="background1"/>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110</w:t>
            </w:r>
          </w:p>
        </w:tc>
        <w:tc>
          <w:tcPr>
            <w:tcW w:w="1971"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古陶路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汇通南路-西南方向延伸</w:t>
            </w:r>
          </w:p>
        </w:tc>
        <w:tc>
          <w:tcPr>
            <w:tcW w:w="975" w:type="dxa"/>
            <w:shd w:val="clear" w:color="auto" w:fill="D8D8D8" w:themeFill="background1" w:themeFillShade="D9"/>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111</w:t>
            </w:r>
          </w:p>
        </w:tc>
        <w:tc>
          <w:tcPr>
            <w:tcW w:w="1971"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马村东路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小牛街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滨河北街</w:t>
            </w:r>
          </w:p>
        </w:tc>
        <w:tc>
          <w:tcPr>
            <w:tcW w:w="975" w:type="dxa"/>
            <w:shd w:val="clear" w:color="auto" w:fill="D8D8D8" w:themeFill="background1" w:themeFillShade="D9"/>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112</w:t>
            </w:r>
          </w:p>
        </w:tc>
        <w:tc>
          <w:tcPr>
            <w:tcW w:w="1971"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王郝东路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小牛街</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滨河北街</w:t>
            </w:r>
          </w:p>
        </w:tc>
        <w:tc>
          <w:tcPr>
            <w:tcW w:w="975" w:type="dxa"/>
            <w:shd w:val="clear" w:color="auto" w:fill="D8D8D8" w:themeFill="background1" w:themeFillShade="D9"/>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113</w:t>
            </w:r>
          </w:p>
        </w:tc>
        <w:tc>
          <w:tcPr>
            <w:tcW w:w="1971"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怀仁北路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综合通道</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滨河北街</w:t>
            </w:r>
          </w:p>
        </w:tc>
        <w:tc>
          <w:tcPr>
            <w:tcW w:w="975" w:type="dxa"/>
            <w:shd w:val="clear" w:color="auto" w:fill="D8D8D8" w:themeFill="background1" w:themeFillShade="D9"/>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114</w:t>
            </w:r>
          </w:p>
        </w:tc>
        <w:tc>
          <w:tcPr>
            <w:tcW w:w="1971"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陈侃街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综合通道</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铁西路</w:t>
            </w:r>
          </w:p>
        </w:tc>
        <w:tc>
          <w:tcPr>
            <w:tcW w:w="975" w:type="dxa"/>
            <w:shd w:val="clear" w:color="auto" w:fill="D8D8D8" w:themeFill="background1" w:themeFillShade="D9"/>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115</w:t>
            </w:r>
          </w:p>
        </w:tc>
        <w:tc>
          <w:tcPr>
            <w:tcW w:w="1971"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褚村北街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综合通道</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国道环城线</w:t>
            </w:r>
          </w:p>
        </w:tc>
        <w:tc>
          <w:tcPr>
            <w:tcW w:w="975" w:type="dxa"/>
            <w:shd w:val="clear" w:color="auto" w:fill="D8D8D8" w:themeFill="background1" w:themeFillShade="D9"/>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116</w:t>
            </w:r>
          </w:p>
        </w:tc>
        <w:tc>
          <w:tcPr>
            <w:tcW w:w="1971"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兴隆北街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铁东路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西墕西路</w:t>
            </w:r>
          </w:p>
        </w:tc>
        <w:tc>
          <w:tcPr>
            <w:tcW w:w="975" w:type="dxa"/>
            <w:shd w:val="clear" w:color="auto" w:fill="D8D8D8" w:themeFill="background1" w:themeFillShade="D9"/>
            <w:vAlign w:val="top"/>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117</w:t>
            </w:r>
          </w:p>
        </w:tc>
        <w:tc>
          <w:tcPr>
            <w:tcW w:w="1971"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兴隆南街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铁东路</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西墕西路</w:t>
            </w:r>
          </w:p>
        </w:tc>
        <w:tc>
          <w:tcPr>
            <w:tcW w:w="975" w:type="dxa"/>
            <w:shd w:val="clear" w:color="auto" w:fill="D8D8D8" w:themeFill="background1" w:themeFillShade="D9"/>
            <w:vAlign w:val="top"/>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118</w:t>
            </w:r>
          </w:p>
        </w:tc>
        <w:tc>
          <w:tcPr>
            <w:tcW w:w="1971"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姚村规划路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综合通道</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环城西路</w:t>
            </w:r>
          </w:p>
        </w:tc>
        <w:tc>
          <w:tcPr>
            <w:tcW w:w="975" w:type="dxa"/>
            <w:shd w:val="clear" w:color="auto" w:fill="D8D8D8" w:themeFill="background1" w:themeFillShade="D9"/>
            <w:vAlign w:val="top"/>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top"/>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119</w:t>
            </w:r>
          </w:p>
        </w:tc>
        <w:tc>
          <w:tcPr>
            <w:tcW w:w="1971"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迦南东路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小牛街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小赵南街</w:t>
            </w:r>
          </w:p>
        </w:tc>
        <w:tc>
          <w:tcPr>
            <w:tcW w:w="975" w:type="dxa"/>
            <w:shd w:val="clear" w:color="auto" w:fill="D8D8D8" w:themeFill="background1" w:themeFillShade="D9"/>
            <w:vAlign w:val="top"/>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w:t>
            </w:r>
          </w:p>
        </w:tc>
        <w:tc>
          <w:tcPr>
            <w:tcW w:w="1971"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小赵西路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南要南街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小赵南街</w:t>
            </w:r>
          </w:p>
        </w:tc>
        <w:tc>
          <w:tcPr>
            <w:tcW w:w="975" w:type="dxa"/>
            <w:shd w:val="clear" w:color="auto" w:fill="D8D8D8" w:themeFill="background1" w:themeFillShade="D9"/>
            <w:vAlign w:val="top"/>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121</w:t>
            </w:r>
          </w:p>
        </w:tc>
        <w:tc>
          <w:tcPr>
            <w:tcW w:w="1971"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陈侃西路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滨河南街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小赵南街</w:t>
            </w:r>
          </w:p>
        </w:tc>
        <w:tc>
          <w:tcPr>
            <w:tcW w:w="975" w:type="dxa"/>
            <w:shd w:val="clear" w:color="auto" w:fill="D8D8D8" w:themeFill="background1" w:themeFillShade="D9"/>
            <w:vAlign w:val="top"/>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122</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修文街</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小牛线</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陈侃西路</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Ex>
        <w:trPr>
          <w:jc w:val="center"/>
        </w:trPr>
        <w:tc>
          <w:tcPr>
            <w:tcW w:w="570" w:type="dxa"/>
            <w:shd w:val="clear" w:color="auto" w:fill="D8D8D8" w:themeFill="background1" w:themeFillShade="D9"/>
            <w:vAlign w:val="center"/>
          </w:tcPr>
          <w:p>
            <w:pPr>
              <w:spacing w:beforeLines="0" w:line="0" w:lineRule="atLeast"/>
              <w:ind w:left="0" w:left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123</w:t>
            </w:r>
          </w:p>
        </w:tc>
        <w:tc>
          <w:tcPr>
            <w:tcW w:w="1971"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园西路</w:t>
            </w:r>
          </w:p>
        </w:tc>
        <w:tc>
          <w:tcPr>
            <w:tcW w:w="3129"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滨河南街</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小赵南街</w:t>
            </w:r>
          </w:p>
        </w:tc>
        <w:tc>
          <w:tcPr>
            <w:tcW w:w="975" w:type="dxa"/>
            <w:shd w:val="clear" w:color="auto" w:fill="D8D8D8" w:themeFill="background1" w:themeFillShade="D9"/>
            <w:vAlign w:val="top"/>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次干路</w:t>
            </w:r>
          </w:p>
        </w:tc>
        <w:tc>
          <w:tcPr>
            <w:tcW w:w="1625" w:type="dxa"/>
            <w:shd w:val="clear" w:color="auto" w:fill="D8D8D8" w:themeFill="background1" w:themeFillShade="D9"/>
            <w:vAlign w:val="center"/>
          </w:tcPr>
          <w:p>
            <w:pPr>
              <w:spacing w:beforeLines="0" w:line="0" w:lineRule="atLeast"/>
              <w:ind w:left="0" w:left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4</w:t>
            </w:r>
          </w:p>
        </w:tc>
      </w:tr>
    </w:tbl>
    <w:p>
      <w:pPr>
        <w:spacing w:before="156"/>
      </w:pPr>
    </w:p>
    <w:p>
      <w:pPr>
        <w:pStyle w:val="3"/>
        <w:spacing w:before="156" w:after="156"/>
        <w:rPr>
          <w:rFonts w:ascii="Arial" w:hAnsi="Arial"/>
        </w:rPr>
        <w:sectPr>
          <w:pgSz w:w="11906" w:h="16838"/>
          <w:pgMar w:top="1440" w:right="1800" w:bottom="1440" w:left="1800" w:header="851" w:footer="992" w:gutter="0"/>
          <w:cols w:space="425" w:num="1"/>
          <w:docGrid w:type="lines" w:linePitch="312" w:charSpace="0"/>
        </w:sectPr>
      </w:pPr>
    </w:p>
    <w:p>
      <w:pPr>
        <w:pStyle w:val="3"/>
        <w:spacing w:before="156" w:after="156"/>
        <w:rPr>
          <w:rFonts w:ascii="Arial" w:hAnsi="Arial"/>
        </w:rPr>
      </w:pPr>
      <w:bookmarkStart w:id="380" w:name="_Toc492850152"/>
      <w:r>
        <w:rPr>
          <w:rFonts w:hint="eastAsia" w:ascii="Arial" w:hAnsi="Arial"/>
        </w:rPr>
        <w:t>附表13</w:t>
      </w:r>
      <w:r>
        <w:rPr>
          <w:rFonts w:ascii="Arial" w:hAnsi="Arial"/>
        </w:rPr>
        <w:t>：中心城区主要</w:t>
      </w:r>
      <w:r>
        <w:rPr>
          <w:rFonts w:hint="eastAsia" w:ascii="Arial" w:hAnsi="Arial"/>
        </w:rPr>
        <w:t>城市</w:t>
      </w:r>
      <w:r>
        <w:rPr>
          <w:rFonts w:ascii="Arial" w:hAnsi="Arial"/>
        </w:rPr>
        <w:t>公园规划一览表</w:t>
      </w:r>
      <w:bookmarkEnd w:id="380"/>
    </w:p>
    <w:tbl>
      <w:tblPr>
        <w:tblStyle w:val="55"/>
        <w:tblW w:w="8648" w:type="dxa"/>
        <w:tblInd w:w="-26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67"/>
        <w:gridCol w:w="1702"/>
        <w:gridCol w:w="3685"/>
        <w:gridCol w:w="141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567" w:type="dxa"/>
            <w:tcMar>
              <w:top w:w="19" w:type="dxa"/>
              <w:left w:w="19" w:type="dxa"/>
              <w:bottom w:w="0" w:type="dxa"/>
              <w:right w:w="19" w:type="dxa"/>
            </w:tcMar>
            <w:vAlign w:val="center"/>
          </w:tcPr>
          <w:p>
            <w:pPr>
              <w:spacing w:beforeLines="0" w:line="0" w:lineRule="atLeast"/>
              <w:ind w:left="0" w:leftChars="0"/>
              <w:rPr>
                <w:b/>
                <w:sz w:val="21"/>
                <w:szCs w:val="21"/>
              </w:rPr>
            </w:pPr>
            <w:r>
              <w:rPr>
                <w:rFonts w:hint="eastAsia"/>
                <w:b/>
                <w:sz w:val="21"/>
                <w:szCs w:val="21"/>
              </w:rPr>
              <w:t>编号</w:t>
            </w:r>
          </w:p>
        </w:tc>
        <w:tc>
          <w:tcPr>
            <w:tcW w:w="1702" w:type="dxa"/>
            <w:tcMar>
              <w:top w:w="19" w:type="dxa"/>
              <w:left w:w="19" w:type="dxa"/>
              <w:bottom w:w="0" w:type="dxa"/>
              <w:right w:w="19" w:type="dxa"/>
            </w:tcMar>
            <w:vAlign w:val="center"/>
          </w:tcPr>
          <w:p>
            <w:pPr>
              <w:spacing w:beforeLines="0" w:line="0" w:lineRule="atLeast"/>
              <w:ind w:left="0" w:leftChars="0"/>
              <w:rPr>
                <w:b/>
                <w:sz w:val="21"/>
                <w:szCs w:val="21"/>
              </w:rPr>
            </w:pPr>
            <w:r>
              <w:rPr>
                <w:rFonts w:hint="eastAsia"/>
                <w:b/>
                <w:sz w:val="21"/>
                <w:szCs w:val="21"/>
              </w:rPr>
              <w:t>名称</w:t>
            </w:r>
          </w:p>
        </w:tc>
        <w:tc>
          <w:tcPr>
            <w:tcW w:w="3685" w:type="dxa"/>
            <w:tcMar>
              <w:top w:w="19" w:type="dxa"/>
              <w:left w:w="19" w:type="dxa"/>
              <w:bottom w:w="0" w:type="dxa"/>
              <w:right w:w="19" w:type="dxa"/>
            </w:tcMar>
            <w:vAlign w:val="center"/>
          </w:tcPr>
          <w:p>
            <w:pPr>
              <w:spacing w:beforeLines="0" w:line="0" w:lineRule="atLeast"/>
              <w:ind w:left="0" w:leftChars="0"/>
              <w:rPr>
                <w:b/>
                <w:sz w:val="21"/>
                <w:szCs w:val="21"/>
              </w:rPr>
            </w:pPr>
            <w:r>
              <w:rPr>
                <w:rFonts w:hint="eastAsia"/>
                <w:b/>
                <w:sz w:val="21"/>
                <w:szCs w:val="21"/>
              </w:rPr>
              <w:t>位置</w:t>
            </w:r>
          </w:p>
        </w:tc>
        <w:tc>
          <w:tcPr>
            <w:tcW w:w="1418" w:type="dxa"/>
            <w:tcMar>
              <w:top w:w="19" w:type="dxa"/>
              <w:left w:w="19" w:type="dxa"/>
              <w:bottom w:w="0" w:type="dxa"/>
              <w:right w:w="19" w:type="dxa"/>
            </w:tcMar>
            <w:vAlign w:val="center"/>
          </w:tcPr>
          <w:p>
            <w:pPr>
              <w:spacing w:beforeLines="0" w:line="0" w:lineRule="atLeast"/>
              <w:ind w:left="0" w:leftChars="0"/>
              <w:rPr>
                <w:b/>
                <w:sz w:val="21"/>
                <w:szCs w:val="21"/>
              </w:rPr>
            </w:pPr>
            <w:r>
              <w:rPr>
                <w:rFonts w:hint="eastAsia"/>
                <w:b/>
                <w:sz w:val="21"/>
                <w:szCs w:val="21"/>
              </w:rPr>
              <w:t>面积</w:t>
            </w:r>
          </w:p>
          <w:p>
            <w:pPr>
              <w:spacing w:beforeLines="0" w:line="0" w:lineRule="atLeast"/>
              <w:ind w:left="0" w:leftChars="0"/>
              <w:rPr>
                <w:b/>
                <w:sz w:val="21"/>
                <w:szCs w:val="21"/>
              </w:rPr>
            </w:pPr>
            <w:r>
              <w:rPr>
                <w:rFonts w:hint="eastAsia"/>
                <w:b/>
                <w:sz w:val="21"/>
                <w:szCs w:val="21"/>
              </w:rPr>
              <w:t>（万平方米）</w:t>
            </w:r>
          </w:p>
        </w:tc>
        <w:tc>
          <w:tcPr>
            <w:tcW w:w="1276" w:type="dxa"/>
            <w:tcMar>
              <w:top w:w="19" w:type="dxa"/>
              <w:left w:w="19" w:type="dxa"/>
              <w:bottom w:w="0" w:type="dxa"/>
              <w:right w:w="19" w:type="dxa"/>
            </w:tcMar>
            <w:vAlign w:val="center"/>
          </w:tcPr>
          <w:p>
            <w:pPr>
              <w:spacing w:beforeLines="0" w:line="0" w:lineRule="atLeast"/>
              <w:ind w:left="0" w:leftChars="0"/>
              <w:rPr>
                <w:b/>
                <w:sz w:val="21"/>
                <w:szCs w:val="21"/>
              </w:rPr>
            </w:pPr>
            <w:r>
              <w:rPr>
                <w:rFonts w:hint="eastAsia"/>
                <w:b/>
                <w:sz w:val="21"/>
                <w:szCs w:val="21"/>
              </w:rPr>
              <w:t>级别或类型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567" w:type="dxa"/>
            <w:tcMar>
              <w:top w:w="19" w:type="dxa"/>
              <w:left w:w="19" w:type="dxa"/>
              <w:bottom w:w="0" w:type="dxa"/>
              <w:right w:w="19" w:type="dxa"/>
            </w:tcMar>
            <w:vAlign w:val="center"/>
          </w:tcPr>
          <w:p>
            <w:pPr>
              <w:spacing w:beforeLines="0" w:line="0" w:lineRule="atLeast"/>
              <w:ind w:left="0" w:leftChars="0"/>
              <w:jc w:val="center"/>
              <w:rPr>
                <w:sz w:val="21"/>
                <w:szCs w:val="21"/>
              </w:rPr>
            </w:pPr>
            <w:r>
              <w:rPr>
                <w:sz w:val="21"/>
                <w:szCs w:val="21"/>
              </w:rPr>
              <w:t>1</w:t>
            </w:r>
          </w:p>
        </w:tc>
        <w:tc>
          <w:tcPr>
            <w:tcW w:w="1702"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玉湖公园</w:t>
            </w:r>
          </w:p>
        </w:tc>
        <w:tc>
          <w:tcPr>
            <w:tcW w:w="3685"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文苑街</w:t>
            </w:r>
            <w:r>
              <w:rPr>
                <w:sz w:val="21"/>
                <w:szCs w:val="21"/>
              </w:rPr>
              <w:t>-</w:t>
            </w:r>
            <w:r>
              <w:rPr>
                <w:rFonts w:hint="eastAsia"/>
                <w:sz w:val="21"/>
                <w:szCs w:val="21"/>
              </w:rPr>
              <w:t>中都路交叉口东北角</w:t>
            </w:r>
          </w:p>
        </w:tc>
        <w:tc>
          <w:tcPr>
            <w:tcW w:w="1418" w:type="dxa"/>
            <w:tcMar>
              <w:top w:w="19" w:type="dxa"/>
              <w:left w:w="19" w:type="dxa"/>
              <w:bottom w:w="0" w:type="dxa"/>
              <w:right w:w="19" w:type="dxa"/>
            </w:tcMar>
            <w:vAlign w:val="center"/>
          </w:tcPr>
          <w:p>
            <w:pPr>
              <w:spacing w:beforeLines="0" w:line="0" w:lineRule="atLeast"/>
              <w:ind w:left="0" w:leftChars="0"/>
              <w:rPr>
                <w:sz w:val="21"/>
                <w:szCs w:val="21"/>
              </w:rPr>
            </w:pPr>
            <w:r>
              <w:rPr>
                <w:sz w:val="21"/>
                <w:szCs w:val="21"/>
              </w:rPr>
              <w:t>1</w:t>
            </w:r>
            <w:r>
              <w:rPr>
                <w:rFonts w:hint="eastAsia"/>
                <w:sz w:val="21"/>
                <w:szCs w:val="21"/>
              </w:rPr>
              <w:t>1.91</w:t>
            </w:r>
          </w:p>
        </w:tc>
        <w:tc>
          <w:tcPr>
            <w:tcW w:w="1276"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市级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567" w:type="dxa"/>
            <w:tcMar>
              <w:top w:w="19" w:type="dxa"/>
              <w:left w:w="19" w:type="dxa"/>
              <w:bottom w:w="0" w:type="dxa"/>
              <w:right w:w="19" w:type="dxa"/>
            </w:tcMar>
            <w:vAlign w:val="center"/>
          </w:tcPr>
          <w:p>
            <w:pPr>
              <w:spacing w:beforeLines="0" w:line="0" w:lineRule="atLeast"/>
              <w:ind w:left="0" w:leftChars="0"/>
              <w:jc w:val="center"/>
              <w:rPr>
                <w:sz w:val="21"/>
                <w:szCs w:val="21"/>
              </w:rPr>
            </w:pPr>
            <w:r>
              <w:rPr>
                <w:sz w:val="21"/>
                <w:szCs w:val="21"/>
              </w:rPr>
              <w:t>2</w:t>
            </w:r>
          </w:p>
        </w:tc>
        <w:tc>
          <w:tcPr>
            <w:tcW w:w="1702"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晋商公园</w:t>
            </w:r>
          </w:p>
        </w:tc>
        <w:tc>
          <w:tcPr>
            <w:tcW w:w="3685"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现状公园东延至环城东路，西延至同蒲铁路</w:t>
            </w:r>
          </w:p>
        </w:tc>
        <w:tc>
          <w:tcPr>
            <w:tcW w:w="1418" w:type="dxa"/>
            <w:tcMar>
              <w:top w:w="19" w:type="dxa"/>
              <w:left w:w="19" w:type="dxa"/>
              <w:bottom w:w="0" w:type="dxa"/>
              <w:right w:w="19" w:type="dxa"/>
            </w:tcMar>
            <w:vAlign w:val="center"/>
          </w:tcPr>
          <w:p>
            <w:pPr>
              <w:spacing w:beforeLines="0" w:line="0" w:lineRule="atLeast"/>
              <w:ind w:left="0" w:leftChars="0"/>
              <w:rPr>
                <w:sz w:val="21"/>
                <w:szCs w:val="21"/>
              </w:rPr>
            </w:pPr>
            <w:r>
              <w:rPr>
                <w:sz w:val="21"/>
                <w:szCs w:val="21"/>
              </w:rPr>
              <w:t>64</w:t>
            </w:r>
          </w:p>
        </w:tc>
        <w:tc>
          <w:tcPr>
            <w:tcW w:w="1276"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市级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567" w:type="dxa"/>
            <w:tcMar>
              <w:top w:w="19" w:type="dxa"/>
              <w:left w:w="19" w:type="dxa"/>
              <w:bottom w:w="0" w:type="dxa"/>
              <w:right w:w="19" w:type="dxa"/>
            </w:tcMar>
            <w:vAlign w:val="center"/>
          </w:tcPr>
          <w:p>
            <w:pPr>
              <w:spacing w:beforeLines="0" w:line="0" w:lineRule="atLeast"/>
              <w:ind w:left="0" w:leftChars="0"/>
              <w:jc w:val="center"/>
              <w:rPr>
                <w:sz w:val="21"/>
                <w:szCs w:val="21"/>
              </w:rPr>
            </w:pPr>
            <w:r>
              <w:rPr>
                <w:sz w:val="21"/>
                <w:szCs w:val="21"/>
              </w:rPr>
              <w:t>3</w:t>
            </w:r>
          </w:p>
        </w:tc>
        <w:tc>
          <w:tcPr>
            <w:tcW w:w="1702"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社火公园</w:t>
            </w:r>
          </w:p>
        </w:tc>
        <w:tc>
          <w:tcPr>
            <w:tcW w:w="3685"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迎宾西街</w:t>
            </w:r>
            <w:r>
              <w:rPr>
                <w:sz w:val="21"/>
                <w:szCs w:val="21"/>
              </w:rPr>
              <w:t>-</w:t>
            </w:r>
            <w:r>
              <w:rPr>
                <w:rFonts w:hint="eastAsia"/>
                <w:sz w:val="21"/>
                <w:szCs w:val="21"/>
              </w:rPr>
              <w:t>经纬路交叉口东南角</w:t>
            </w:r>
          </w:p>
        </w:tc>
        <w:tc>
          <w:tcPr>
            <w:tcW w:w="1418" w:type="dxa"/>
            <w:tcMar>
              <w:top w:w="19" w:type="dxa"/>
              <w:left w:w="19" w:type="dxa"/>
              <w:bottom w:w="0" w:type="dxa"/>
              <w:right w:w="19" w:type="dxa"/>
            </w:tcMar>
            <w:vAlign w:val="center"/>
          </w:tcPr>
          <w:p>
            <w:pPr>
              <w:spacing w:beforeLines="0" w:line="0" w:lineRule="atLeast"/>
              <w:ind w:left="0" w:leftChars="0"/>
              <w:rPr>
                <w:sz w:val="21"/>
                <w:szCs w:val="21"/>
              </w:rPr>
            </w:pPr>
            <w:r>
              <w:rPr>
                <w:sz w:val="21"/>
                <w:szCs w:val="21"/>
              </w:rPr>
              <w:t>1</w:t>
            </w:r>
            <w:r>
              <w:rPr>
                <w:rFonts w:hint="eastAsia"/>
                <w:sz w:val="21"/>
                <w:szCs w:val="21"/>
              </w:rPr>
              <w:t>7</w:t>
            </w:r>
            <w:r>
              <w:rPr>
                <w:sz w:val="21"/>
                <w:szCs w:val="21"/>
              </w:rPr>
              <w:t>.62</w:t>
            </w:r>
          </w:p>
        </w:tc>
        <w:tc>
          <w:tcPr>
            <w:tcW w:w="1276"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市级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567" w:type="dxa"/>
            <w:tcMar>
              <w:top w:w="19" w:type="dxa"/>
              <w:left w:w="19" w:type="dxa"/>
              <w:bottom w:w="0" w:type="dxa"/>
              <w:right w:w="19" w:type="dxa"/>
            </w:tcMar>
            <w:vAlign w:val="center"/>
          </w:tcPr>
          <w:p>
            <w:pPr>
              <w:spacing w:beforeLines="0" w:line="0" w:lineRule="atLeast"/>
              <w:ind w:left="0" w:leftChars="0"/>
              <w:jc w:val="center"/>
              <w:rPr>
                <w:sz w:val="21"/>
                <w:szCs w:val="21"/>
              </w:rPr>
            </w:pPr>
            <w:r>
              <w:rPr>
                <w:sz w:val="21"/>
                <w:szCs w:val="21"/>
              </w:rPr>
              <w:t>4</w:t>
            </w:r>
          </w:p>
        </w:tc>
        <w:tc>
          <w:tcPr>
            <w:tcW w:w="1702"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南关公园</w:t>
            </w:r>
          </w:p>
        </w:tc>
        <w:tc>
          <w:tcPr>
            <w:tcW w:w="3685"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思凤街</w:t>
            </w:r>
            <w:r>
              <w:rPr>
                <w:sz w:val="21"/>
                <w:szCs w:val="21"/>
              </w:rPr>
              <w:t>-</w:t>
            </w:r>
            <w:r>
              <w:rPr>
                <w:rFonts w:hint="eastAsia"/>
                <w:sz w:val="21"/>
                <w:szCs w:val="21"/>
              </w:rPr>
              <w:t>南关路交叉口东南侧</w:t>
            </w:r>
          </w:p>
        </w:tc>
        <w:tc>
          <w:tcPr>
            <w:tcW w:w="1418"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15.62</w:t>
            </w:r>
          </w:p>
        </w:tc>
        <w:tc>
          <w:tcPr>
            <w:tcW w:w="1276"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市级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567" w:type="dxa"/>
            <w:tcMar>
              <w:top w:w="19" w:type="dxa"/>
              <w:left w:w="19" w:type="dxa"/>
              <w:bottom w:w="0" w:type="dxa"/>
              <w:right w:w="19" w:type="dxa"/>
            </w:tcMar>
            <w:vAlign w:val="center"/>
          </w:tcPr>
          <w:p>
            <w:pPr>
              <w:spacing w:beforeLines="0" w:line="0" w:lineRule="atLeast"/>
              <w:ind w:left="0" w:leftChars="0"/>
              <w:jc w:val="center"/>
              <w:rPr>
                <w:sz w:val="21"/>
                <w:szCs w:val="21"/>
              </w:rPr>
            </w:pPr>
            <w:r>
              <w:rPr>
                <w:rFonts w:hint="eastAsia"/>
                <w:sz w:val="21"/>
                <w:szCs w:val="21"/>
              </w:rPr>
              <w:t>5</w:t>
            </w:r>
          </w:p>
        </w:tc>
        <w:tc>
          <w:tcPr>
            <w:tcW w:w="1702"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韩荣公园</w:t>
            </w:r>
          </w:p>
        </w:tc>
        <w:tc>
          <w:tcPr>
            <w:tcW w:w="3685"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顺城西街-韩荣路交叉口东南角</w:t>
            </w:r>
          </w:p>
        </w:tc>
        <w:tc>
          <w:tcPr>
            <w:tcW w:w="1418"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15.09</w:t>
            </w:r>
          </w:p>
        </w:tc>
        <w:tc>
          <w:tcPr>
            <w:tcW w:w="1276"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市级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567" w:type="dxa"/>
            <w:tcMar>
              <w:top w:w="19" w:type="dxa"/>
              <w:left w:w="19" w:type="dxa"/>
              <w:bottom w:w="0" w:type="dxa"/>
              <w:right w:w="19" w:type="dxa"/>
            </w:tcMar>
            <w:vAlign w:val="center"/>
          </w:tcPr>
          <w:p>
            <w:pPr>
              <w:spacing w:beforeLines="0" w:line="0" w:lineRule="atLeast"/>
              <w:ind w:left="0" w:leftChars="0"/>
              <w:jc w:val="center"/>
              <w:rPr>
                <w:sz w:val="21"/>
                <w:szCs w:val="21"/>
              </w:rPr>
            </w:pPr>
            <w:r>
              <w:rPr>
                <w:rFonts w:hint="eastAsia"/>
                <w:sz w:val="21"/>
                <w:szCs w:val="21"/>
              </w:rPr>
              <w:t>6</w:t>
            </w:r>
          </w:p>
        </w:tc>
        <w:tc>
          <w:tcPr>
            <w:tcW w:w="1702"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大学城公园</w:t>
            </w:r>
          </w:p>
        </w:tc>
        <w:tc>
          <w:tcPr>
            <w:tcW w:w="3685"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大学街与吉盛路交口</w:t>
            </w:r>
          </w:p>
        </w:tc>
        <w:tc>
          <w:tcPr>
            <w:tcW w:w="1418"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40.5</w:t>
            </w:r>
          </w:p>
        </w:tc>
        <w:tc>
          <w:tcPr>
            <w:tcW w:w="1276"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市级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567" w:type="dxa"/>
            <w:tcMar>
              <w:top w:w="19" w:type="dxa"/>
              <w:left w:w="19" w:type="dxa"/>
              <w:bottom w:w="0" w:type="dxa"/>
              <w:right w:w="19" w:type="dxa"/>
            </w:tcMar>
            <w:vAlign w:val="center"/>
          </w:tcPr>
          <w:p>
            <w:pPr>
              <w:spacing w:beforeLines="0" w:line="0" w:lineRule="atLeast"/>
              <w:ind w:left="0" w:leftChars="0"/>
              <w:jc w:val="center"/>
              <w:rPr>
                <w:sz w:val="21"/>
                <w:szCs w:val="21"/>
              </w:rPr>
            </w:pPr>
            <w:r>
              <w:rPr>
                <w:rFonts w:hint="eastAsia"/>
                <w:sz w:val="21"/>
                <w:szCs w:val="21"/>
              </w:rPr>
              <w:t>7</w:t>
            </w:r>
          </w:p>
        </w:tc>
        <w:tc>
          <w:tcPr>
            <w:tcW w:w="1702"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南潇河公园</w:t>
            </w:r>
          </w:p>
        </w:tc>
        <w:tc>
          <w:tcPr>
            <w:tcW w:w="3685"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潇河南岸</w:t>
            </w:r>
          </w:p>
        </w:tc>
        <w:tc>
          <w:tcPr>
            <w:tcW w:w="1418"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37.39</w:t>
            </w:r>
          </w:p>
        </w:tc>
        <w:tc>
          <w:tcPr>
            <w:tcW w:w="1276"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市级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567" w:type="dxa"/>
            <w:tcMar>
              <w:top w:w="19" w:type="dxa"/>
              <w:left w:w="19" w:type="dxa"/>
              <w:bottom w:w="0" w:type="dxa"/>
              <w:right w:w="19" w:type="dxa"/>
            </w:tcMar>
            <w:vAlign w:val="center"/>
          </w:tcPr>
          <w:p>
            <w:pPr>
              <w:spacing w:beforeLines="0" w:line="0" w:lineRule="atLeast"/>
              <w:ind w:left="0" w:leftChars="0"/>
              <w:jc w:val="center"/>
              <w:rPr>
                <w:sz w:val="21"/>
                <w:szCs w:val="21"/>
              </w:rPr>
            </w:pPr>
            <w:r>
              <w:rPr>
                <w:sz w:val="21"/>
                <w:szCs w:val="21"/>
              </w:rPr>
              <w:t>8</w:t>
            </w:r>
          </w:p>
        </w:tc>
        <w:tc>
          <w:tcPr>
            <w:tcW w:w="1702"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建业公园</w:t>
            </w:r>
          </w:p>
        </w:tc>
        <w:tc>
          <w:tcPr>
            <w:tcW w:w="3685"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建业街</w:t>
            </w:r>
            <w:r>
              <w:rPr>
                <w:sz w:val="21"/>
                <w:szCs w:val="21"/>
              </w:rPr>
              <w:t>-</w:t>
            </w:r>
            <w:r>
              <w:rPr>
                <w:rFonts w:hint="eastAsia"/>
                <w:sz w:val="21"/>
                <w:szCs w:val="21"/>
              </w:rPr>
              <w:t>液东路交叉口东南角</w:t>
            </w:r>
          </w:p>
        </w:tc>
        <w:tc>
          <w:tcPr>
            <w:tcW w:w="1418"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4.72</w:t>
            </w:r>
          </w:p>
        </w:tc>
        <w:tc>
          <w:tcPr>
            <w:tcW w:w="1276"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区级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567" w:type="dxa"/>
            <w:tcMar>
              <w:top w:w="19" w:type="dxa"/>
              <w:left w:w="19" w:type="dxa"/>
              <w:bottom w:w="0" w:type="dxa"/>
              <w:right w:w="19" w:type="dxa"/>
            </w:tcMar>
            <w:vAlign w:val="center"/>
          </w:tcPr>
          <w:p>
            <w:pPr>
              <w:spacing w:beforeLines="0" w:line="0" w:lineRule="atLeast"/>
              <w:ind w:left="0" w:leftChars="0"/>
              <w:jc w:val="center"/>
              <w:rPr>
                <w:sz w:val="21"/>
                <w:szCs w:val="21"/>
              </w:rPr>
            </w:pPr>
            <w:r>
              <w:rPr>
                <w:sz w:val="21"/>
                <w:szCs w:val="21"/>
              </w:rPr>
              <w:t>9</w:t>
            </w:r>
          </w:p>
        </w:tc>
        <w:tc>
          <w:tcPr>
            <w:tcW w:w="1702"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北城公园</w:t>
            </w:r>
          </w:p>
        </w:tc>
        <w:tc>
          <w:tcPr>
            <w:tcW w:w="3685"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纬七街与魏榆路交口东南角</w:t>
            </w:r>
          </w:p>
        </w:tc>
        <w:tc>
          <w:tcPr>
            <w:tcW w:w="1418" w:type="dxa"/>
            <w:tcMar>
              <w:top w:w="19" w:type="dxa"/>
              <w:left w:w="19" w:type="dxa"/>
              <w:bottom w:w="0" w:type="dxa"/>
              <w:right w:w="19" w:type="dxa"/>
            </w:tcMar>
            <w:vAlign w:val="center"/>
          </w:tcPr>
          <w:p>
            <w:pPr>
              <w:spacing w:beforeLines="0" w:line="0" w:lineRule="atLeast"/>
              <w:ind w:left="0" w:leftChars="0"/>
              <w:rPr>
                <w:sz w:val="21"/>
                <w:szCs w:val="21"/>
              </w:rPr>
            </w:pPr>
            <w:r>
              <w:rPr>
                <w:sz w:val="21"/>
                <w:szCs w:val="21"/>
              </w:rPr>
              <w:t>9</w:t>
            </w:r>
            <w:r>
              <w:rPr>
                <w:rFonts w:hint="eastAsia"/>
                <w:sz w:val="21"/>
                <w:szCs w:val="21"/>
              </w:rPr>
              <w:t>.17</w:t>
            </w:r>
          </w:p>
        </w:tc>
        <w:tc>
          <w:tcPr>
            <w:tcW w:w="1276"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区级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567" w:type="dxa"/>
            <w:tcMar>
              <w:top w:w="19" w:type="dxa"/>
              <w:left w:w="19" w:type="dxa"/>
              <w:bottom w:w="0" w:type="dxa"/>
              <w:right w:w="19" w:type="dxa"/>
            </w:tcMar>
            <w:vAlign w:val="center"/>
          </w:tcPr>
          <w:p>
            <w:pPr>
              <w:spacing w:beforeLines="0" w:line="0" w:lineRule="atLeast"/>
              <w:ind w:left="0" w:leftChars="0"/>
              <w:jc w:val="center"/>
              <w:rPr>
                <w:sz w:val="21"/>
                <w:szCs w:val="21"/>
              </w:rPr>
            </w:pPr>
            <w:r>
              <w:rPr>
                <w:sz w:val="21"/>
                <w:szCs w:val="21"/>
              </w:rPr>
              <w:t>10</w:t>
            </w:r>
          </w:p>
        </w:tc>
        <w:tc>
          <w:tcPr>
            <w:tcW w:w="1702"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老城公园</w:t>
            </w:r>
          </w:p>
        </w:tc>
        <w:tc>
          <w:tcPr>
            <w:tcW w:w="3685"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榆次老城西侧</w:t>
            </w:r>
            <w:r>
              <w:rPr>
                <w:rFonts w:hint="eastAsia"/>
                <w:sz w:val="21"/>
                <w:szCs w:val="21"/>
                <w:lang w:val="en-US" w:eastAsia="zh-CN"/>
              </w:rPr>
              <w:t xml:space="preserve"> </w:t>
            </w:r>
          </w:p>
        </w:tc>
        <w:tc>
          <w:tcPr>
            <w:tcW w:w="1418" w:type="dxa"/>
            <w:tcMar>
              <w:top w:w="19" w:type="dxa"/>
              <w:left w:w="19" w:type="dxa"/>
              <w:bottom w:w="0" w:type="dxa"/>
              <w:right w:w="19" w:type="dxa"/>
            </w:tcMar>
            <w:vAlign w:val="center"/>
          </w:tcPr>
          <w:p>
            <w:pPr>
              <w:spacing w:beforeLines="0" w:line="0" w:lineRule="atLeast"/>
              <w:ind w:left="0" w:leftChars="0"/>
              <w:rPr>
                <w:sz w:val="21"/>
                <w:szCs w:val="21"/>
              </w:rPr>
            </w:pPr>
            <w:r>
              <w:rPr>
                <w:sz w:val="21"/>
                <w:szCs w:val="21"/>
              </w:rPr>
              <w:t>7.</w:t>
            </w:r>
            <w:r>
              <w:rPr>
                <w:rFonts w:hint="eastAsia"/>
                <w:sz w:val="21"/>
                <w:szCs w:val="21"/>
              </w:rPr>
              <w:t>65</w:t>
            </w:r>
          </w:p>
        </w:tc>
        <w:tc>
          <w:tcPr>
            <w:tcW w:w="1276"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区级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567" w:type="dxa"/>
            <w:tcMar>
              <w:top w:w="19" w:type="dxa"/>
              <w:left w:w="19" w:type="dxa"/>
              <w:bottom w:w="0" w:type="dxa"/>
              <w:right w:w="19" w:type="dxa"/>
            </w:tcMar>
            <w:vAlign w:val="center"/>
          </w:tcPr>
          <w:p>
            <w:pPr>
              <w:spacing w:beforeLines="0" w:line="0" w:lineRule="atLeast"/>
              <w:ind w:left="0" w:leftChars="0"/>
              <w:jc w:val="center"/>
              <w:rPr>
                <w:sz w:val="21"/>
                <w:szCs w:val="21"/>
              </w:rPr>
            </w:pPr>
            <w:r>
              <w:rPr>
                <w:rFonts w:hint="eastAsia"/>
                <w:sz w:val="21"/>
                <w:szCs w:val="21"/>
              </w:rPr>
              <w:t>1</w:t>
            </w:r>
            <w:r>
              <w:rPr>
                <w:sz w:val="21"/>
                <w:szCs w:val="21"/>
              </w:rPr>
              <w:t>1</w:t>
            </w:r>
          </w:p>
        </w:tc>
        <w:tc>
          <w:tcPr>
            <w:tcW w:w="1702"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城西公园</w:t>
            </w:r>
          </w:p>
        </w:tc>
        <w:tc>
          <w:tcPr>
            <w:tcW w:w="3685"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顺城西街</w:t>
            </w:r>
            <w:r>
              <w:rPr>
                <w:sz w:val="21"/>
                <w:szCs w:val="21"/>
              </w:rPr>
              <w:t>-</w:t>
            </w:r>
            <w:r>
              <w:rPr>
                <w:rFonts w:hint="eastAsia"/>
                <w:sz w:val="21"/>
                <w:szCs w:val="21"/>
              </w:rPr>
              <w:t>环城西路交叉口东北侧</w:t>
            </w:r>
          </w:p>
        </w:tc>
        <w:tc>
          <w:tcPr>
            <w:tcW w:w="1418"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3.50</w:t>
            </w:r>
          </w:p>
        </w:tc>
        <w:tc>
          <w:tcPr>
            <w:tcW w:w="1276"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区级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0" w:hRule="atLeast"/>
        </w:trPr>
        <w:tc>
          <w:tcPr>
            <w:tcW w:w="567" w:type="dxa"/>
            <w:tcMar>
              <w:top w:w="19" w:type="dxa"/>
              <w:left w:w="19" w:type="dxa"/>
              <w:bottom w:w="0" w:type="dxa"/>
              <w:right w:w="19" w:type="dxa"/>
            </w:tcMar>
            <w:vAlign w:val="center"/>
          </w:tcPr>
          <w:p>
            <w:pPr>
              <w:spacing w:beforeLines="0" w:line="0" w:lineRule="atLeast"/>
              <w:ind w:left="0" w:leftChars="0"/>
              <w:jc w:val="center"/>
              <w:rPr>
                <w:sz w:val="21"/>
                <w:szCs w:val="21"/>
              </w:rPr>
            </w:pPr>
            <w:r>
              <w:rPr>
                <w:rFonts w:hint="eastAsia"/>
                <w:sz w:val="21"/>
                <w:szCs w:val="21"/>
              </w:rPr>
              <w:t>1</w:t>
            </w:r>
            <w:r>
              <w:rPr>
                <w:sz w:val="21"/>
                <w:szCs w:val="21"/>
              </w:rPr>
              <w:t>2</w:t>
            </w:r>
          </w:p>
        </w:tc>
        <w:tc>
          <w:tcPr>
            <w:tcW w:w="1702"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新站公园</w:t>
            </w:r>
          </w:p>
        </w:tc>
        <w:tc>
          <w:tcPr>
            <w:tcW w:w="3685"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高铁站东侧</w:t>
            </w:r>
          </w:p>
        </w:tc>
        <w:tc>
          <w:tcPr>
            <w:tcW w:w="1418"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7.98</w:t>
            </w:r>
          </w:p>
        </w:tc>
        <w:tc>
          <w:tcPr>
            <w:tcW w:w="1276" w:type="dxa"/>
            <w:tcMar>
              <w:top w:w="19" w:type="dxa"/>
              <w:left w:w="19" w:type="dxa"/>
              <w:bottom w:w="0" w:type="dxa"/>
              <w:right w:w="19" w:type="dxa"/>
            </w:tcMar>
            <w:vAlign w:val="center"/>
          </w:tcPr>
          <w:p>
            <w:pPr>
              <w:spacing w:beforeLines="0" w:line="0" w:lineRule="atLeast"/>
              <w:ind w:left="0" w:leftChars="0"/>
              <w:rPr>
                <w:sz w:val="21"/>
                <w:szCs w:val="21"/>
              </w:rPr>
            </w:pPr>
            <w:r>
              <w:rPr>
                <w:rFonts w:hint="eastAsia"/>
                <w:sz w:val="21"/>
                <w:szCs w:val="21"/>
              </w:rPr>
              <w:t>区级</w:t>
            </w:r>
          </w:p>
        </w:tc>
      </w:tr>
    </w:tbl>
    <w:p>
      <w:pPr>
        <w:spacing w:beforeLines="0" w:line="0" w:lineRule="atLeast"/>
        <w:ind w:left="0" w:leftChars="0"/>
      </w:pPr>
      <w:bookmarkStart w:id="381" w:name="_GoBack"/>
      <w:bookmarkEnd w:id="38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新魏">
    <w:altName w:val="宋体"/>
    <w:panose1 w:val="02010800040101010101"/>
    <w:charset w:val="86"/>
    <w:family w:val="auto"/>
    <w:pitch w:val="default"/>
    <w:sig w:usb0="00000000" w:usb1="00000000" w:usb2="00000010" w:usb3="00000000" w:csb0="00040000" w:csb1="00000000"/>
  </w:font>
  <w:font w:name="Cambria">
    <w:panose1 w:val="02040503050406030204"/>
    <w:charset w:val="00"/>
    <w:family w:val="roman"/>
    <w:pitch w:val="default"/>
    <w:sig w:usb0="E00006FF" w:usb1="400004FF" w:usb2="00000000" w:usb3="00000000" w:csb0="2000019F" w:csb1="00000000"/>
  </w:font>
  <w:font w:name="Plotter">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spacing w:before="120"/>
      <w:jc w:val="center"/>
    </w:pPr>
    <w:r>
      <w:rPr>
        <w:rStyle w:val="50"/>
      </w:rPr>
      <w:fldChar w:fldCharType="begin"/>
    </w:r>
    <w:r>
      <w:rPr>
        <w:rStyle w:val="50"/>
      </w:rPr>
      <w:instrText xml:space="preserve">PAGE  </w:instrText>
    </w:r>
    <w:r>
      <w:rPr>
        <w:rStyle w:val="50"/>
      </w:rPr>
      <w:fldChar w:fldCharType="separate"/>
    </w:r>
    <w:r>
      <w:rPr>
        <w:rStyle w:val="50"/>
      </w:rPr>
      <w:t>79</w:t>
    </w:r>
    <w:r>
      <w:rPr>
        <w:rStyle w:val="5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spacing w:before="120"/>
      <w:rPr>
        <w:rStyle w:val="50"/>
      </w:rPr>
    </w:pPr>
    <w:r>
      <w:rPr>
        <w:rStyle w:val="50"/>
      </w:rPr>
      <w:fldChar w:fldCharType="begin"/>
    </w:r>
    <w:r>
      <w:rPr>
        <w:rStyle w:val="50"/>
      </w:rPr>
      <w:instrText xml:space="preserve">PAGE  </w:instrText>
    </w:r>
    <w:r>
      <w:rPr>
        <w:rStyle w:val="50"/>
      </w:rPr>
      <w:fldChar w:fldCharType="end"/>
    </w:r>
  </w:p>
  <w:p>
    <w:pPr>
      <w:pStyle w:val="31"/>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37"/>
        <w:spacing w:before="156"/>
      </w:pPr>
      <w:r>
        <w:rPr>
          <w:rStyle w:val="54"/>
        </w:rPr>
        <w:footnoteRef/>
      </w:r>
      <w:r>
        <w:rPr>
          <w:rFonts w:hint="eastAsia"/>
          <w:color w:val="000000" w:themeColor="text1"/>
          <w14:textFill>
            <w14:solidFill>
              <w14:schemeClr w14:val="tx1"/>
            </w14:solidFill>
          </w14:textFill>
        </w:rPr>
        <w:t>由于太原榆次太谷协调区考虑更为长远，因此在此区域范围内纳入山西综改示范区潇河产业园区所有规划建设用地，进行统筹协调；规划区和中心城区考虑规划期现实条件约束，仅将山西转型综改示范区潇河产业园区晋中起步区纳入规划建设用地范围。因此，本规划中除特别说明外，在太原榆次太谷协调区层次内涉及的山西综改示范区潇河产业园区统称为潇河产业园区；而在规划区和中心城区层次则将其称为潇河起步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tabs>
        <w:tab w:val="center" w:pos="4320"/>
        <w:tab w:val="right" w:pos="8640"/>
        <w:tab w:val="clear" w:pos="4153"/>
        <w:tab w:val="clear" w:pos="8306"/>
      </w:tabs>
      <w:spacing w:before="120"/>
      <w:ind w:left="0" w:leftChars="0" w:firstLine="360" w:firstLineChars="200"/>
      <w:rPr>
        <w:rFonts w:asciiTheme="minorEastAsia" w:hAnsiTheme="minorEastAsia" w:eastAsiaTheme="minorEastAsia"/>
        <w:kern w:val="2"/>
      </w:rPr>
    </w:pPr>
    <w:r>
      <w:rPr>
        <w:rFonts w:hint="eastAsia" w:asciiTheme="minorEastAsia" w:hAnsiTheme="minorEastAsia" w:eastAsiaTheme="minorEastAsia"/>
        <w:kern w:val="2"/>
      </w:rPr>
      <w:t>晋中市城市总体规划（201</w:t>
    </w:r>
    <w:r>
      <w:rPr>
        <w:rFonts w:asciiTheme="minorEastAsia" w:hAnsiTheme="minorEastAsia" w:eastAsiaTheme="minorEastAsia"/>
        <w:kern w:val="2"/>
      </w:rPr>
      <w:t>6</w:t>
    </w:r>
    <w:r>
      <w:rPr>
        <w:rFonts w:hint="eastAsia" w:asciiTheme="minorEastAsia" w:hAnsiTheme="minorEastAsia" w:eastAsiaTheme="minorEastAsia"/>
        <w:kern w:val="2"/>
      </w:rPr>
      <w:t>-2030）.文本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A54A0"/>
    <w:multiLevelType w:val="multilevel"/>
    <w:tmpl w:val="0D1A54A0"/>
    <w:lvl w:ilvl="0" w:tentative="0">
      <w:start w:val="1"/>
      <w:numFmt w:val="japaneseCounting"/>
      <w:pStyle w:val="150"/>
      <w:lvlText w:val="第%1章"/>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7D149A5"/>
    <w:multiLevelType w:val="multilevel"/>
    <w:tmpl w:val="27D149A5"/>
    <w:lvl w:ilvl="0" w:tentative="0">
      <w:start w:val="1"/>
      <w:numFmt w:val="decimal"/>
      <w:pStyle w:val="149"/>
      <w:lvlText w:val="(%1)"/>
      <w:lvlJc w:val="left"/>
      <w:pPr>
        <w:tabs>
          <w:tab w:val="left" w:pos="1123"/>
        </w:tabs>
        <w:ind w:left="1157" w:hanging="98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2EE54743"/>
    <w:multiLevelType w:val="multilevel"/>
    <w:tmpl w:val="2EE54743"/>
    <w:lvl w:ilvl="0" w:tentative="0">
      <w:start w:val="1"/>
      <w:numFmt w:val="chineseCountingThousand"/>
      <w:pStyle w:val="2"/>
      <w:suff w:val="nothing"/>
      <w:lvlText w:val="第%1章  "/>
      <w:lvlJc w:val="center"/>
      <w:pPr>
        <w:ind w:left="4860" w:hanging="1855"/>
      </w:pPr>
      <w:rPr>
        <w:rFonts w:hint="eastAsia" w:eastAsia="黑体"/>
        <w:b/>
        <w:i w:val="0"/>
        <w:sz w:val="36"/>
        <w:szCs w:val="36"/>
      </w:rPr>
    </w:lvl>
    <w:lvl w:ilvl="1" w:tentative="0">
      <w:start w:val="1"/>
      <w:numFmt w:val="chineseCountingThousand"/>
      <w:suff w:val="nothing"/>
      <w:lvlText w:val="第%2章  "/>
      <w:lvlJc w:val="left"/>
      <w:pPr>
        <w:ind w:left="5040"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lvlRestart w:val="0"/>
      <w:isLgl/>
      <w:suff w:val="nothing"/>
      <w:lvlText w:val="第%3条 "/>
      <w:lvlJc w:val="left"/>
      <w:pPr>
        <w:ind w:left="0" w:firstLine="0"/>
      </w:pPr>
      <w:rPr>
        <w:rFonts w:hint="eastAsia" w:eastAsia="宋体"/>
        <w:b w:val="0"/>
        <w:i w:val="0"/>
        <w:color w:val="auto"/>
        <w:sz w:val="24"/>
        <w:szCs w:val="24"/>
        <w:lang w:val="en-US"/>
      </w:rPr>
    </w:lvl>
    <w:lvl w:ilvl="3" w:tentative="0">
      <w:start w:val="1"/>
      <w:numFmt w:val="decimal"/>
      <w:pStyle w:val="5"/>
      <w:suff w:val="nothing"/>
      <w:lvlText w:val="（%4）"/>
      <w:lvlJc w:val="left"/>
      <w:pPr>
        <w:ind w:left="-3260" w:firstLine="0"/>
      </w:pPr>
      <w:rPr>
        <w:rFonts w:hint="eastAsia" w:ascii="Times New Roman" w:hAnsi="Times New Roman" w:cs="Times New Roman"/>
        <w:b w:val="0"/>
        <w:bCs w:val="0"/>
        <w:i w:val="0"/>
        <w:iCs w:val="0"/>
        <w:caps w:val="0"/>
        <w:smallCaps w:val="0"/>
        <w:strike w:val="0"/>
        <w:dstrike w:val="0"/>
        <w:vanish w:val="0"/>
        <w:color w:val="000000"/>
        <w:spacing w:val="0"/>
        <w:position w:val="0"/>
        <w:sz w:val="24"/>
        <w:szCs w:val="24"/>
        <w:u w:val="none"/>
        <w:vertAlign w:val="baseline"/>
      </w:rPr>
    </w:lvl>
    <w:lvl w:ilvl="4" w:tentative="0">
      <w:start w:val="1"/>
      <w:numFmt w:val="decimal"/>
      <w:pStyle w:val="6"/>
      <w:suff w:val="nothing"/>
      <w:lvlText w:val="%2.%3.%4.%5 "/>
      <w:lvlJc w:val="left"/>
      <w:pPr>
        <w:ind w:left="520" w:firstLine="0"/>
      </w:pPr>
      <w:rPr>
        <w:rFonts w:hint="eastAsia"/>
      </w:rPr>
    </w:lvl>
    <w:lvl w:ilvl="5" w:tentative="0">
      <w:start w:val="1"/>
      <w:numFmt w:val="none"/>
      <w:pStyle w:val="7"/>
      <w:suff w:val="nothing"/>
      <w:lvlText w:val=""/>
      <w:lvlJc w:val="left"/>
      <w:pPr>
        <w:ind w:left="-3980" w:firstLine="0"/>
      </w:pPr>
      <w:rPr>
        <w:rFonts w:hint="eastAsia"/>
      </w:rPr>
    </w:lvl>
    <w:lvl w:ilvl="6" w:tentative="0">
      <w:start w:val="1"/>
      <w:numFmt w:val="none"/>
      <w:pStyle w:val="8"/>
      <w:suff w:val="nothing"/>
      <w:lvlText w:val=""/>
      <w:lvlJc w:val="left"/>
      <w:pPr>
        <w:ind w:left="-3980" w:firstLine="0"/>
      </w:pPr>
      <w:rPr>
        <w:rFonts w:hint="eastAsia"/>
      </w:rPr>
    </w:lvl>
    <w:lvl w:ilvl="7" w:tentative="0">
      <w:start w:val="1"/>
      <w:numFmt w:val="none"/>
      <w:pStyle w:val="9"/>
      <w:suff w:val="nothing"/>
      <w:lvlText w:val=""/>
      <w:lvlJc w:val="left"/>
      <w:pPr>
        <w:ind w:left="-3980" w:firstLine="0"/>
      </w:pPr>
      <w:rPr>
        <w:rFonts w:hint="eastAsia"/>
      </w:rPr>
    </w:lvl>
    <w:lvl w:ilvl="8" w:tentative="0">
      <w:start w:val="1"/>
      <w:numFmt w:val="none"/>
      <w:pStyle w:val="10"/>
      <w:suff w:val="nothing"/>
      <w:lvlText w:val=""/>
      <w:lvlJc w:val="left"/>
      <w:pPr>
        <w:ind w:left="-3980" w:firstLine="0"/>
      </w:pPr>
      <w:rPr>
        <w:rFonts w:hint="eastAsia"/>
      </w:rPr>
    </w:lvl>
  </w:abstractNum>
  <w:abstractNum w:abstractNumId="3">
    <w:nsid w:val="304C16FC"/>
    <w:multiLevelType w:val="multilevel"/>
    <w:tmpl w:val="304C16FC"/>
    <w:lvl w:ilvl="0" w:tentative="0">
      <w:start w:val="1"/>
      <w:numFmt w:val="decimal"/>
      <w:lvlText w:val="第%1条"/>
      <w:lvlJc w:val="left"/>
      <w:pPr>
        <w:tabs>
          <w:tab w:val="left" w:pos="840"/>
        </w:tabs>
        <w:ind w:left="840" w:hanging="420"/>
      </w:pPr>
      <w:rPr>
        <w:rFonts w:hint="eastAsia"/>
      </w:rPr>
    </w:lvl>
    <w:lvl w:ilvl="1" w:tentative="0">
      <w:start w:val="1"/>
      <w:numFmt w:val="decimal"/>
      <w:lvlText w:val="（%2）"/>
      <w:lvlJc w:val="left"/>
      <w:pPr>
        <w:tabs>
          <w:tab w:val="left" w:pos="1140"/>
        </w:tabs>
        <w:ind w:left="1140" w:hanging="720"/>
      </w:pPr>
      <w:rPr>
        <w:rFonts w:hint="default"/>
      </w:rPr>
    </w:lvl>
    <w:lvl w:ilvl="2" w:tentative="0">
      <w:start w:val="1"/>
      <w:numFmt w:val="decimal"/>
      <w:pStyle w:val="4"/>
      <w:lvlText w:val="第%3条"/>
      <w:lvlJc w:val="left"/>
      <w:pPr>
        <w:tabs>
          <w:tab w:val="left" w:pos="1260"/>
        </w:tabs>
        <w:ind w:left="1260" w:hanging="80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chineseCountingThousand"/>
      <w:lvlText w:val="第%4节"/>
      <w:lvlJc w:val="left"/>
      <w:pPr>
        <w:tabs>
          <w:tab w:val="left" w:pos="0"/>
        </w:tabs>
        <w:ind w:left="0" w:firstLine="0"/>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3"/>
  </w:num>
  <w:num w:numId="3">
    <w:abstractNumId w:val="1"/>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5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FA4"/>
    <w:rsid w:val="0000103B"/>
    <w:rsid w:val="00001B07"/>
    <w:rsid w:val="00002467"/>
    <w:rsid w:val="00002707"/>
    <w:rsid w:val="00004CE4"/>
    <w:rsid w:val="00007C82"/>
    <w:rsid w:val="00010B41"/>
    <w:rsid w:val="00013BEC"/>
    <w:rsid w:val="00016457"/>
    <w:rsid w:val="0002012F"/>
    <w:rsid w:val="0002119F"/>
    <w:rsid w:val="00023215"/>
    <w:rsid w:val="0002373E"/>
    <w:rsid w:val="00025084"/>
    <w:rsid w:val="00025B53"/>
    <w:rsid w:val="000322CA"/>
    <w:rsid w:val="000346FF"/>
    <w:rsid w:val="00036680"/>
    <w:rsid w:val="00036CA7"/>
    <w:rsid w:val="0004057A"/>
    <w:rsid w:val="0004080A"/>
    <w:rsid w:val="0004090C"/>
    <w:rsid w:val="00040B74"/>
    <w:rsid w:val="0004112D"/>
    <w:rsid w:val="0004192B"/>
    <w:rsid w:val="000420BC"/>
    <w:rsid w:val="00042F5F"/>
    <w:rsid w:val="00043A90"/>
    <w:rsid w:val="00044EAC"/>
    <w:rsid w:val="000455E2"/>
    <w:rsid w:val="0004576A"/>
    <w:rsid w:val="00052057"/>
    <w:rsid w:val="00052BEB"/>
    <w:rsid w:val="000534B7"/>
    <w:rsid w:val="00060DED"/>
    <w:rsid w:val="00061CDE"/>
    <w:rsid w:val="00062377"/>
    <w:rsid w:val="00063D80"/>
    <w:rsid w:val="000647EE"/>
    <w:rsid w:val="00064DF9"/>
    <w:rsid w:val="00065340"/>
    <w:rsid w:val="00065689"/>
    <w:rsid w:val="00065BEB"/>
    <w:rsid w:val="00066C78"/>
    <w:rsid w:val="000678C0"/>
    <w:rsid w:val="00071067"/>
    <w:rsid w:val="000715A2"/>
    <w:rsid w:val="000725C6"/>
    <w:rsid w:val="00073A19"/>
    <w:rsid w:val="00076B8E"/>
    <w:rsid w:val="00077737"/>
    <w:rsid w:val="00080B47"/>
    <w:rsid w:val="00083D6A"/>
    <w:rsid w:val="00084A63"/>
    <w:rsid w:val="0008536B"/>
    <w:rsid w:val="00085659"/>
    <w:rsid w:val="00085DF0"/>
    <w:rsid w:val="00090AB8"/>
    <w:rsid w:val="00090D4A"/>
    <w:rsid w:val="0009159F"/>
    <w:rsid w:val="00091E52"/>
    <w:rsid w:val="00092487"/>
    <w:rsid w:val="000928B8"/>
    <w:rsid w:val="000930FC"/>
    <w:rsid w:val="00093408"/>
    <w:rsid w:val="00094892"/>
    <w:rsid w:val="00095265"/>
    <w:rsid w:val="0009529B"/>
    <w:rsid w:val="000A413D"/>
    <w:rsid w:val="000A486F"/>
    <w:rsid w:val="000A78F9"/>
    <w:rsid w:val="000B5FEB"/>
    <w:rsid w:val="000B7FD9"/>
    <w:rsid w:val="000C291C"/>
    <w:rsid w:val="000C4362"/>
    <w:rsid w:val="000C4EA4"/>
    <w:rsid w:val="000C522C"/>
    <w:rsid w:val="000C5A3C"/>
    <w:rsid w:val="000C60D3"/>
    <w:rsid w:val="000C676C"/>
    <w:rsid w:val="000D1329"/>
    <w:rsid w:val="000D24E7"/>
    <w:rsid w:val="000D2C25"/>
    <w:rsid w:val="000D2C3E"/>
    <w:rsid w:val="000D39E4"/>
    <w:rsid w:val="000D45B1"/>
    <w:rsid w:val="000D5659"/>
    <w:rsid w:val="000D6578"/>
    <w:rsid w:val="000D6A57"/>
    <w:rsid w:val="000D6D2A"/>
    <w:rsid w:val="000D6E0B"/>
    <w:rsid w:val="000D6E13"/>
    <w:rsid w:val="000D755C"/>
    <w:rsid w:val="000E0C24"/>
    <w:rsid w:val="000E1B6D"/>
    <w:rsid w:val="000E230B"/>
    <w:rsid w:val="000E2D15"/>
    <w:rsid w:val="000E351C"/>
    <w:rsid w:val="000E46D8"/>
    <w:rsid w:val="000E5F0A"/>
    <w:rsid w:val="000E7800"/>
    <w:rsid w:val="000F3852"/>
    <w:rsid w:val="000F3B74"/>
    <w:rsid w:val="000F45DC"/>
    <w:rsid w:val="000F4F78"/>
    <w:rsid w:val="000F51F3"/>
    <w:rsid w:val="00100290"/>
    <w:rsid w:val="001011FF"/>
    <w:rsid w:val="00102095"/>
    <w:rsid w:val="0010406C"/>
    <w:rsid w:val="00104AB6"/>
    <w:rsid w:val="00104F77"/>
    <w:rsid w:val="001053DD"/>
    <w:rsid w:val="00105890"/>
    <w:rsid w:val="00106F7D"/>
    <w:rsid w:val="00107C9E"/>
    <w:rsid w:val="0011135B"/>
    <w:rsid w:val="00111A6B"/>
    <w:rsid w:val="0011539B"/>
    <w:rsid w:val="00115558"/>
    <w:rsid w:val="00117E57"/>
    <w:rsid w:val="00120D67"/>
    <w:rsid w:val="00120DB6"/>
    <w:rsid w:val="001234D9"/>
    <w:rsid w:val="0012713E"/>
    <w:rsid w:val="00130977"/>
    <w:rsid w:val="0013126B"/>
    <w:rsid w:val="00132083"/>
    <w:rsid w:val="00132BDA"/>
    <w:rsid w:val="0013309C"/>
    <w:rsid w:val="0013389D"/>
    <w:rsid w:val="00133D8B"/>
    <w:rsid w:val="00135CB9"/>
    <w:rsid w:val="00135D5F"/>
    <w:rsid w:val="001374B1"/>
    <w:rsid w:val="00137749"/>
    <w:rsid w:val="001401EE"/>
    <w:rsid w:val="0014046F"/>
    <w:rsid w:val="00140EE2"/>
    <w:rsid w:val="00143B83"/>
    <w:rsid w:val="001458BD"/>
    <w:rsid w:val="00146E32"/>
    <w:rsid w:val="00146E64"/>
    <w:rsid w:val="00151968"/>
    <w:rsid w:val="00151F08"/>
    <w:rsid w:val="001521BB"/>
    <w:rsid w:val="0015512F"/>
    <w:rsid w:val="00155A6B"/>
    <w:rsid w:val="0015683A"/>
    <w:rsid w:val="00157B93"/>
    <w:rsid w:val="00157C04"/>
    <w:rsid w:val="00160321"/>
    <w:rsid w:val="00160B4E"/>
    <w:rsid w:val="0016120D"/>
    <w:rsid w:val="00166123"/>
    <w:rsid w:val="0016643D"/>
    <w:rsid w:val="001724BA"/>
    <w:rsid w:val="00175AAA"/>
    <w:rsid w:val="001760AE"/>
    <w:rsid w:val="00180A29"/>
    <w:rsid w:val="00180F4F"/>
    <w:rsid w:val="00181F1A"/>
    <w:rsid w:val="001831B0"/>
    <w:rsid w:val="00184A7D"/>
    <w:rsid w:val="0018590F"/>
    <w:rsid w:val="00185DCE"/>
    <w:rsid w:val="0019249D"/>
    <w:rsid w:val="001927E2"/>
    <w:rsid w:val="00192D55"/>
    <w:rsid w:val="00193F8B"/>
    <w:rsid w:val="00195A18"/>
    <w:rsid w:val="00195C11"/>
    <w:rsid w:val="00195D1D"/>
    <w:rsid w:val="0019724E"/>
    <w:rsid w:val="001A0C70"/>
    <w:rsid w:val="001A27E0"/>
    <w:rsid w:val="001A2A89"/>
    <w:rsid w:val="001A500F"/>
    <w:rsid w:val="001A66D0"/>
    <w:rsid w:val="001A6A99"/>
    <w:rsid w:val="001A7DF2"/>
    <w:rsid w:val="001B0A36"/>
    <w:rsid w:val="001B0B54"/>
    <w:rsid w:val="001B2F18"/>
    <w:rsid w:val="001B4AD2"/>
    <w:rsid w:val="001B5837"/>
    <w:rsid w:val="001B65B8"/>
    <w:rsid w:val="001B7264"/>
    <w:rsid w:val="001C186B"/>
    <w:rsid w:val="001C24AC"/>
    <w:rsid w:val="001C5C91"/>
    <w:rsid w:val="001C7A8A"/>
    <w:rsid w:val="001D0F2F"/>
    <w:rsid w:val="001D4A21"/>
    <w:rsid w:val="001D644B"/>
    <w:rsid w:val="001D65AE"/>
    <w:rsid w:val="001D7118"/>
    <w:rsid w:val="001E0E4C"/>
    <w:rsid w:val="001E13EA"/>
    <w:rsid w:val="001E3057"/>
    <w:rsid w:val="001E37E0"/>
    <w:rsid w:val="001E6779"/>
    <w:rsid w:val="001F2A96"/>
    <w:rsid w:val="001F2B09"/>
    <w:rsid w:val="001F3A7A"/>
    <w:rsid w:val="001F6479"/>
    <w:rsid w:val="001F7C08"/>
    <w:rsid w:val="00200B24"/>
    <w:rsid w:val="00201436"/>
    <w:rsid w:val="00203FAB"/>
    <w:rsid w:val="00205D79"/>
    <w:rsid w:val="00205F8E"/>
    <w:rsid w:val="00206664"/>
    <w:rsid w:val="00210530"/>
    <w:rsid w:val="00210584"/>
    <w:rsid w:val="002142B3"/>
    <w:rsid w:val="00215764"/>
    <w:rsid w:val="00217D7F"/>
    <w:rsid w:val="0022411E"/>
    <w:rsid w:val="0022426D"/>
    <w:rsid w:val="0022518D"/>
    <w:rsid w:val="002252C9"/>
    <w:rsid w:val="00226240"/>
    <w:rsid w:val="00230AB7"/>
    <w:rsid w:val="00232A6A"/>
    <w:rsid w:val="002405A2"/>
    <w:rsid w:val="00240602"/>
    <w:rsid w:val="00240942"/>
    <w:rsid w:val="002420A4"/>
    <w:rsid w:val="00242C95"/>
    <w:rsid w:val="0024311F"/>
    <w:rsid w:val="002450CC"/>
    <w:rsid w:val="002501EC"/>
    <w:rsid w:val="00250805"/>
    <w:rsid w:val="0025210F"/>
    <w:rsid w:val="00253080"/>
    <w:rsid w:val="00254FC2"/>
    <w:rsid w:val="00255227"/>
    <w:rsid w:val="0025522F"/>
    <w:rsid w:val="00260BE2"/>
    <w:rsid w:val="00260E81"/>
    <w:rsid w:val="0026225A"/>
    <w:rsid w:val="002637C2"/>
    <w:rsid w:val="00266C1D"/>
    <w:rsid w:val="00267882"/>
    <w:rsid w:val="00267D7B"/>
    <w:rsid w:val="00270C7D"/>
    <w:rsid w:val="00273EC8"/>
    <w:rsid w:val="0027549C"/>
    <w:rsid w:val="002755A2"/>
    <w:rsid w:val="002758CE"/>
    <w:rsid w:val="00285257"/>
    <w:rsid w:val="002854AC"/>
    <w:rsid w:val="002858F4"/>
    <w:rsid w:val="002862C0"/>
    <w:rsid w:val="00287DB5"/>
    <w:rsid w:val="00287F82"/>
    <w:rsid w:val="00292815"/>
    <w:rsid w:val="00292B9A"/>
    <w:rsid w:val="00292E77"/>
    <w:rsid w:val="00293A12"/>
    <w:rsid w:val="00293AD9"/>
    <w:rsid w:val="00294A9C"/>
    <w:rsid w:val="00297704"/>
    <w:rsid w:val="002A2B67"/>
    <w:rsid w:val="002A3958"/>
    <w:rsid w:val="002A4CED"/>
    <w:rsid w:val="002A4E50"/>
    <w:rsid w:val="002B163D"/>
    <w:rsid w:val="002B367D"/>
    <w:rsid w:val="002B3B60"/>
    <w:rsid w:val="002B3CC0"/>
    <w:rsid w:val="002B45A4"/>
    <w:rsid w:val="002B52B7"/>
    <w:rsid w:val="002B6900"/>
    <w:rsid w:val="002B6AB9"/>
    <w:rsid w:val="002C2C23"/>
    <w:rsid w:val="002C386C"/>
    <w:rsid w:val="002C6DD5"/>
    <w:rsid w:val="002C734D"/>
    <w:rsid w:val="002D0AFC"/>
    <w:rsid w:val="002D12E7"/>
    <w:rsid w:val="002D246C"/>
    <w:rsid w:val="002D31ED"/>
    <w:rsid w:val="002D3502"/>
    <w:rsid w:val="002D5075"/>
    <w:rsid w:val="002D517E"/>
    <w:rsid w:val="002D5537"/>
    <w:rsid w:val="002D5C50"/>
    <w:rsid w:val="002D70BC"/>
    <w:rsid w:val="002D7FE5"/>
    <w:rsid w:val="002E1E5D"/>
    <w:rsid w:val="002E31CA"/>
    <w:rsid w:val="002E326F"/>
    <w:rsid w:val="002E4A5D"/>
    <w:rsid w:val="002E503D"/>
    <w:rsid w:val="002E6E23"/>
    <w:rsid w:val="002E6F58"/>
    <w:rsid w:val="002E6F9E"/>
    <w:rsid w:val="002F0049"/>
    <w:rsid w:val="002F2583"/>
    <w:rsid w:val="002F2FEB"/>
    <w:rsid w:val="002F3C57"/>
    <w:rsid w:val="002F4574"/>
    <w:rsid w:val="002F5504"/>
    <w:rsid w:val="002F6B75"/>
    <w:rsid w:val="002F7DD5"/>
    <w:rsid w:val="0030277A"/>
    <w:rsid w:val="00303EBA"/>
    <w:rsid w:val="00305EFF"/>
    <w:rsid w:val="00306669"/>
    <w:rsid w:val="003073C0"/>
    <w:rsid w:val="00307719"/>
    <w:rsid w:val="00313C07"/>
    <w:rsid w:val="00314904"/>
    <w:rsid w:val="0031645B"/>
    <w:rsid w:val="003218DB"/>
    <w:rsid w:val="00325FB4"/>
    <w:rsid w:val="003262BA"/>
    <w:rsid w:val="00326570"/>
    <w:rsid w:val="00330193"/>
    <w:rsid w:val="00330DC0"/>
    <w:rsid w:val="003315F7"/>
    <w:rsid w:val="00331815"/>
    <w:rsid w:val="0033291C"/>
    <w:rsid w:val="00333AD4"/>
    <w:rsid w:val="00334EFA"/>
    <w:rsid w:val="003414FB"/>
    <w:rsid w:val="00342777"/>
    <w:rsid w:val="003439A1"/>
    <w:rsid w:val="003439CA"/>
    <w:rsid w:val="00343D1A"/>
    <w:rsid w:val="00344C4E"/>
    <w:rsid w:val="003459CC"/>
    <w:rsid w:val="00347757"/>
    <w:rsid w:val="00351D65"/>
    <w:rsid w:val="00354D5A"/>
    <w:rsid w:val="00355A46"/>
    <w:rsid w:val="00356C31"/>
    <w:rsid w:val="0035724C"/>
    <w:rsid w:val="00357411"/>
    <w:rsid w:val="00360BE9"/>
    <w:rsid w:val="003620ED"/>
    <w:rsid w:val="00364171"/>
    <w:rsid w:val="00364278"/>
    <w:rsid w:val="00365FDE"/>
    <w:rsid w:val="003666A9"/>
    <w:rsid w:val="003703EA"/>
    <w:rsid w:val="00370E53"/>
    <w:rsid w:val="00370F2F"/>
    <w:rsid w:val="003716D8"/>
    <w:rsid w:val="00372667"/>
    <w:rsid w:val="00374FA8"/>
    <w:rsid w:val="00375156"/>
    <w:rsid w:val="00375CD7"/>
    <w:rsid w:val="00377A44"/>
    <w:rsid w:val="00382177"/>
    <w:rsid w:val="00382806"/>
    <w:rsid w:val="00382B0E"/>
    <w:rsid w:val="00383C35"/>
    <w:rsid w:val="00383D02"/>
    <w:rsid w:val="00384143"/>
    <w:rsid w:val="00385E65"/>
    <w:rsid w:val="00385EAD"/>
    <w:rsid w:val="0038643B"/>
    <w:rsid w:val="00386481"/>
    <w:rsid w:val="00386FBD"/>
    <w:rsid w:val="00391221"/>
    <w:rsid w:val="00391B42"/>
    <w:rsid w:val="00391BBE"/>
    <w:rsid w:val="00392F6D"/>
    <w:rsid w:val="0039360D"/>
    <w:rsid w:val="003936E1"/>
    <w:rsid w:val="003943E1"/>
    <w:rsid w:val="0039553C"/>
    <w:rsid w:val="00396F7C"/>
    <w:rsid w:val="00397136"/>
    <w:rsid w:val="003A160D"/>
    <w:rsid w:val="003A3DD1"/>
    <w:rsid w:val="003A5657"/>
    <w:rsid w:val="003A6622"/>
    <w:rsid w:val="003A68D2"/>
    <w:rsid w:val="003A6D4D"/>
    <w:rsid w:val="003B07B5"/>
    <w:rsid w:val="003B3846"/>
    <w:rsid w:val="003B3CD7"/>
    <w:rsid w:val="003B42B8"/>
    <w:rsid w:val="003B4876"/>
    <w:rsid w:val="003B6211"/>
    <w:rsid w:val="003C1FA1"/>
    <w:rsid w:val="003C4541"/>
    <w:rsid w:val="003C5D6C"/>
    <w:rsid w:val="003C62DC"/>
    <w:rsid w:val="003C71A8"/>
    <w:rsid w:val="003D0435"/>
    <w:rsid w:val="003D3067"/>
    <w:rsid w:val="003D3655"/>
    <w:rsid w:val="003D5D59"/>
    <w:rsid w:val="003D5FA7"/>
    <w:rsid w:val="003D6846"/>
    <w:rsid w:val="003D76C3"/>
    <w:rsid w:val="003E0152"/>
    <w:rsid w:val="003E09F6"/>
    <w:rsid w:val="003E3BBE"/>
    <w:rsid w:val="003E6963"/>
    <w:rsid w:val="003E79F3"/>
    <w:rsid w:val="003E7AD2"/>
    <w:rsid w:val="003F0928"/>
    <w:rsid w:val="003F1BCA"/>
    <w:rsid w:val="003F41A6"/>
    <w:rsid w:val="003F4F1A"/>
    <w:rsid w:val="003F62EE"/>
    <w:rsid w:val="003F6601"/>
    <w:rsid w:val="003F7607"/>
    <w:rsid w:val="00400674"/>
    <w:rsid w:val="00400C60"/>
    <w:rsid w:val="00402F04"/>
    <w:rsid w:val="0040352E"/>
    <w:rsid w:val="00405300"/>
    <w:rsid w:val="00405DCF"/>
    <w:rsid w:val="00406170"/>
    <w:rsid w:val="00413DE3"/>
    <w:rsid w:val="00413FF0"/>
    <w:rsid w:val="004155F6"/>
    <w:rsid w:val="0042098A"/>
    <w:rsid w:val="004210CD"/>
    <w:rsid w:val="004244BA"/>
    <w:rsid w:val="004247D6"/>
    <w:rsid w:val="004248EB"/>
    <w:rsid w:val="00426497"/>
    <w:rsid w:val="00426A7C"/>
    <w:rsid w:val="00427AFC"/>
    <w:rsid w:val="00427EC7"/>
    <w:rsid w:val="004319B8"/>
    <w:rsid w:val="004321F4"/>
    <w:rsid w:val="0043235D"/>
    <w:rsid w:val="0043248B"/>
    <w:rsid w:val="004329FF"/>
    <w:rsid w:val="00432CF9"/>
    <w:rsid w:val="00433D9B"/>
    <w:rsid w:val="00433F3B"/>
    <w:rsid w:val="00434440"/>
    <w:rsid w:val="0043649A"/>
    <w:rsid w:val="00437A97"/>
    <w:rsid w:val="004400FE"/>
    <w:rsid w:val="004413C5"/>
    <w:rsid w:val="0044152D"/>
    <w:rsid w:val="0044204A"/>
    <w:rsid w:val="004429BA"/>
    <w:rsid w:val="004430BE"/>
    <w:rsid w:val="00445278"/>
    <w:rsid w:val="0044533E"/>
    <w:rsid w:val="00446D3D"/>
    <w:rsid w:val="004502D1"/>
    <w:rsid w:val="00451B0B"/>
    <w:rsid w:val="00453F3A"/>
    <w:rsid w:val="0045521B"/>
    <w:rsid w:val="00456463"/>
    <w:rsid w:val="004617FF"/>
    <w:rsid w:val="00461846"/>
    <w:rsid w:val="0046195F"/>
    <w:rsid w:val="00461F3C"/>
    <w:rsid w:val="004631C3"/>
    <w:rsid w:val="00464A26"/>
    <w:rsid w:val="004711A2"/>
    <w:rsid w:val="004716B2"/>
    <w:rsid w:val="00471A70"/>
    <w:rsid w:val="00474E16"/>
    <w:rsid w:val="00480B62"/>
    <w:rsid w:val="00480E84"/>
    <w:rsid w:val="00481475"/>
    <w:rsid w:val="00481750"/>
    <w:rsid w:val="004835A4"/>
    <w:rsid w:val="00483CAE"/>
    <w:rsid w:val="00484FE2"/>
    <w:rsid w:val="004874FE"/>
    <w:rsid w:val="0049067E"/>
    <w:rsid w:val="00490776"/>
    <w:rsid w:val="00490793"/>
    <w:rsid w:val="004907F0"/>
    <w:rsid w:val="0049108A"/>
    <w:rsid w:val="00491F59"/>
    <w:rsid w:val="004930D1"/>
    <w:rsid w:val="00493A6A"/>
    <w:rsid w:val="00494E49"/>
    <w:rsid w:val="00494E74"/>
    <w:rsid w:val="004953FC"/>
    <w:rsid w:val="00496710"/>
    <w:rsid w:val="004A2EEB"/>
    <w:rsid w:val="004A43A5"/>
    <w:rsid w:val="004A4A79"/>
    <w:rsid w:val="004A53A6"/>
    <w:rsid w:val="004A744B"/>
    <w:rsid w:val="004A753A"/>
    <w:rsid w:val="004B083D"/>
    <w:rsid w:val="004B0E95"/>
    <w:rsid w:val="004B0F6B"/>
    <w:rsid w:val="004B1679"/>
    <w:rsid w:val="004B1C0A"/>
    <w:rsid w:val="004B2853"/>
    <w:rsid w:val="004B28C5"/>
    <w:rsid w:val="004B3030"/>
    <w:rsid w:val="004B3B6C"/>
    <w:rsid w:val="004C0CDF"/>
    <w:rsid w:val="004C0E79"/>
    <w:rsid w:val="004C13C7"/>
    <w:rsid w:val="004C31FD"/>
    <w:rsid w:val="004C34D3"/>
    <w:rsid w:val="004C3CF0"/>
    <w:rsid w:val="004C4A69"/>
    <w:rsid w:val="004C5E11"/>
    <w:rsid w:val="004D2A11"/>
    <w:rsid w:val="004D487A"/>
    <w:rsid w:val="004D516D"/>
    <w:rsid w:val="004D71B5"/>
    <w:rsid w:val="004E0182"/>
    <w:rsid w:val="004E0907"/>
    <w:rsid w:val="004E0EEC"/>
    <w:rsid w:val="004E121C"/>
    <w:rsid w:val="004E2454"/>
    <w:rsid w:val="004E389A"/>
    <w:rsid w:val="004E524B"/>
    <w:rsid w:val="004E64E1"/>
    <w:rsid w:val="004E792E"/>
    <w:rsid w:val="004F004F"/>
    <w:rsid w:val="004F0F26"/>
    <w:rsid w:val="004F0F6D"/>
    <w:rsid w:val="004F1918"/>
    <w:rsid w:val="004F1951"/>
    <w:rsid w:val="004F1D3B"/>
    <w:rsid w:val="004F1E36"/>
    <w:rsid w:val="004F22CD"/>
    <w:rsid w:val="004F2EAB"/>
    <w:rsid w:val="004F53E3"/>
    <w:rsid w:val="004F595F"/>
    <w:rsid w:val="004F5CB1"/>
    <w:rsid w:val="004F5F30"/>
    <w:rsid w:val="004F6F40"/>
    <w:rsid w:val="004F701C"/>
    <w:rsid w:val="00501C9A"/>
    <w:rsid w:val="0050350B"/>
    <w:rsid w:val="00503987"/>
    <w:rsid w:val="005057BA"/>
    <w:rsid w:val="005057E0"/>
    <w:rsid w:val="0050646C"/>
    <w:rsid w:val="005064DA"/>
    <w:rsid w:val="005123F2"/>
    <w:rsid w:val="00512491"/>
    <w:rsid w:val="005154B1"/>
    <w:rsid w:val="00516626"/>
    <w:rsid w:val="00517090"/>
    <w:rsid w:val="005171AC"/>
    <w:rsid w:val="00517676"/>
    <w:rsid w:val="00520D01"/>
    <w:rsid w:val="00520D86"/>
    <w:rsid w:val="00522991"/>
    <w:rsid w:val="00522A47"/>
    <w:rsid w:val="005245BD"/>
    <w:rsid w:val="00525DE7"/>
    <w:rsid w:val="0052674A"/>
    <w:rsid w:val="00531C39"/>
    <w:rsid w:val="005333A2"/>
    <w:rsid w:val="00534C3A"/>
    <w:rsid w:val="00536E8E"/>
    <w:rsid w:val="00540533"/>
    <w:rsid w:val="005414C4"/>
    <w:rsid w:val="005426D9"/>
    <w:rsid w:val="00542B70"/>
    <w:rsid w:val="005432D5"/>
    <w:rsid w:val="00543F78"/>
    <w:rsid w:val="00545B93"/>
    <w:rsid w:val="0054689D"/>
    <w:rsid w:val="005516D4"/>
    <w:rsid w:val="00555582"/>
    <w:rsid w:val="00556EEB"/>
    <w:rsid w:val="0055754F"/>
    <w:rsid w:val="00561F4E"/>
    <w:rsid w:val="005626BB"/>
    <w:rsid w:val="00562DB7"/>
    <w:rsid w:val="00562DE1"/>
    <w:rsid w:val="0056386D"/>
    <w:rsid w:val="00564F84"/>
    <w:rsid w:val="0056543C"/>
    <w:rsid w:val="00567AB6"/>
    <w:rsid w:val="0057254F"/>
    <w:rsid w:val="00574121"/>
    <w:rsid w:val="005756EB"/>
    <w:rsid w:val="00580202"/>
    <w:rsid w:val="00581191"/>
    <w:rsid w:val="00582806"/>
    <w:rsid w:val="00583BB4"/>
    <w:rsid w:val="00584B79"/>
    <w:rsid w:val="0058608B"/>
    <w:rsid w:val="00586B37"/>
    <w:rsid w:val="00587C42"/>
    <w:rsid w:val="00591091"/>
    <w:rsid w:val="00591C02"/>
    <w:rsid w:val="00593DB9"/>
    <w:rsid w:val="00595107"/>
    <w:rsid w:val="00595B61"/>
    <w:rsid w:val="00595D98"/>
    <w:rsid w:val="00595ED8"/>
    <w:rsid w:val="00596682"/>
    <w:rsid w:val="0059728C"/>
    <w:rsid w:val="005A2C99"/>
    <w:rsid w:val="005A30A4"/>
    <w:rsid w:val="005A5F0E"/>
    <w:rsid w:val="005B5858"/>
    <w:rsid w:val="005B6BF1"/>
    <w:rsid w:val="005B6FC2"/>
    <w:rsid w:val="005B7C57"/>
    <w:rsid w:val="005C1DA9"/>
    <w:rsid w:val="005C1E4A"/>
    <w:rsid w:val="005C249A"/>
    <w:rsid w:val="005C30F9"/>
    <w:rsid w:val="005C4597"/>
    <w:rsid w:val="005C5C61"/>
    <w:rsid w:val="005C5FC6"/>
    <w:rsid w:val="005C65F8"/>
    <w:rsid w:val="005C681B"/>
    <w:rsid w:val="005D0135"/>
    <w:rsid w:val="005D2207"/>
    <w:rsid w:val="005D4917"/>
    <w:rsid w:val="005D4A5C"/>
    <w:rsid w:val="005D5128"/>
    <w:rsid w:val="005E360C"/>
    <w:rsid w:val="005E45CA"/>
    <w:rsid w:val="005E58A9"/>
    <w:rsid w:val="005E748C"/>
    <w:rsid w:val="005F0684"/>
    <w:rsid w:val="005F27BE"/>
    <w:rsid w:val="005F29D9"/>
    <w:rsid w:val="005F34FB"/>
    <w:rsid w:val="005F3845"/>
    <w:rsid w:val="005F3AAA"/>
    <w:rsid w:val="005F3C19"/>
    <w:rsid w:val="005F71C7"/>
    <w:rsid w:val="005F722A"/>
    <w:rsid w:val="006000D6"/>
    <w:rsid w:val="00600975"/>
    <w:rsid w:val="00603B63"/>
    <w:rsid w:val="00605230"/>
    <w:rsid w:val="006073C7"/>
    <w:rsid w:val="00607561"/>
    <w:rsid w:val="0061140D"/>
    <w:rsid w:val="00612413"/>
    <w:rsid w:val="006147DE"/>
    <w:rsid w:val="0061547A"/>
    <w:rsid w:val="00615731"/>
    <w:rsid w:val="00616AB5"/>
    <w:rsid w:val="006219CE"/>
    <w:rsid w:val="00621D09"/>
    <w:rsid w:val="0062235A"/>
    <w:rsid w:val="00623327"/>
    <w:rsid w:val="006237F1"/>
    <w:rsid w:val="006239E1"/>
    <w:rsid w:val="006245AA"/>
    <w:rsid w:val="00630EBB"/>
    <w:rsid w:val="00631234"/>
    <w:rsid w:val="0063192C"/>
    <w:rsid w:val="00631FED"/>
    <w:rsid w:val="0063341F"/>
    <w:rsid w:val="00633994"/>
    <w:rsid w:val="00634C7C"/>
    <w:rsid w:val="00635274"/>
    <w:rsid w:val="00636A93"/>
    <w:rsid w:val="00636EFF"/>
    <w:rsid w:val="0063718C"/>
    <w:rsid w:val="006402DD"/>
    <w:rsid w:val="006408D0"/>
    <w:rsid w:val="00640C66"/>
    <w:rsid w:val="0064135F"/>
    <w:rsid w:val="00643B13"/>
    <w:rsid w:val="00644400"/>
    <w:rsid w:val="00647B2B"/>
    <w:rsid w:val="00650942"/>
    <w:rsid w:val="00650CB4"/>
    <w:rsid w:val="00650FCB"/>
    <w:rsid w:val="006510FE"/>
    <w:rsid w:val="0065122D"/>
    <w:rsid w:val="00651F9F"/>
    <w:rsid w:val="00652FC8"/>
    <w:rsid w:val="0065434D"/>
    <w:rsid w:val="00657454"/>
    <w:rsid w:val="00660081"/>
    <w:rsid w:val="006624A2"/>
    <w:rsid w:val="0066418B"/>
    <w:rsid w:val="00664C51"/>
    <w:rsid w:val="00666DAD"/>
    <w:rsid w:val="00667530"/>
    <w:rsid w:val="006676FD"/>
    <w:rsid w:val="006678C2"/>
    <w:rsid w:val="0067774A"/>
    <w:rsid w:val="00677EB2"/>
    <w:rsid w:val="00680807"/>
    <w:rsid w:val="00680F4E"/>
    <w:rsid w:val="006835B0"/>
    <w:rsid w:val="006842DB"/>
    <w:rsid w:val="006861FD"/>
    <w:rsid w:val="006904E0"/>
    <w:rsid w:val="006910E2"/>
    <w:rsid w:val="00692D7D"/>
    <w:rsid w:val="006934F6"/>
    <w:rsid w:val="006943EC"/>
    <w:rsid w:val="00697B62"/>
    <w:rsid w:val="006A0037"/>
    <w:rsid w:val="006A0439"/>
    <w:rsid w:val="006A04F4"/>
    <w:rsid w:val="006A1BCA"/>
    <w:rsid w:val="006A2327"/>
    <w:rsid w:val="006A3C55"/>
    <w:rsid w:val="006A4026"/>
    <w:rsid w:val="006A47A1"/>
    <w:rsid w:val="006A4884"/>
    <w:rsid w:val="006A6EE7"/>
    <w:rsid w:val="006A723C"/>
    <w:rsid w:val="006A74EE"/>
    <w:rsid w:val="006A798E"/>
    <w:rsid w:val="006B1707"/>
    <w:rsid w:val="006B1876"/>
    <w:rsid w:val="006B48C0"/>
    <w:rsid w:val="006B5DF9"/>
    <w:rsid w:val="006B6582"/>
    <w:rsid w:val="006B7B4B"/>
    <w:rsid w:val="006B7EBA"/>
    <w:rsid w:val="006C1D4C"/>
    <w:rsid w:val="006C1F07"/>
    <w:rsid w:val="006C31AB"/>
    <w:rsid w:val="006C3314"/>
    <w:rsid w:val="006C5803"/>
    <w:rsid w:val="006C5F7F"/>
    <w:rsid w:val="006C6A9D"/>
    <w:rsid w:val="006D0CB7"/>
    <w:rsid w:val="006D1109"/>
    <w:rsid w:val="006D1BDE"/>
    <w:rsid w:val="006D2067"/>
    <w:rsid w:val="006D31CB"/>
    <w:rsid w:val="006D4DC3"/>
    <w:rsid w:val="006D589E"/>
    <w:rsid w:val="006D59E8"/>
    <w:rsid w:val="006D629D"/>
    <w:rsid w:val="006D66E2"/>
    <w:rsid w:val="006D6F01"/>
    <w:rsid w:val="006D772A"/>
    <w:rsid w:val="006E0DEA"/>
    <w:rsid w:val="006E238B"/>
    <w:rsid w:val="006E307A"/>
    <w:rsid w:val="006E31EC"/>
    <w:rsid w:val="006E5028"/>
    <w:rsid w:val="006E7805"/>
    <w:rsid w:val="006F06F5"/>
    <w:rsid w:val="006F3202"/>
    <w:rsid w:val="006F3763"/>
    <w:rsid w:val="006F5B2B"/>
    <w:rsid w:val="006F62A4"/>
    <w:rsid w:val="006F6978"/>
    <w:rsid w:val="006F77FE"/>
    <w:rsid w:val="006F7836"/>
    <w:rsid w:val="007020FB"/>
    <w:rsid w:val="00704E07"/>
    <w:rsid w:val="007057BD"/>
    <w:rsid w:val="0070647E"/>
    <w:rsid w:val="0070687E"/>
    <w:rsid w:val="00706FC2"/>
    <w:rsid w:val="007117D2"/>
    <w:rsid w:val="007140FA"/>
    <w:rsid w:val="00714128"/>
    <w:rsid w:val="00714839"/>
    <w:rsid w:val="00714C71"/>
    <w:rsid w:val="00722771"/>
    <w:rsid w:val="0072405D"/>
    <w:rsid w:val="00726085"/>
    <w:rsid w:val="00726EDC"/>
    <w:rsid w:val="00730973"/>
    <w:rsid w:val="00730C87"/>
    <w:rsid w:val="00733F81"/>
    <w:rsid w:val="00734D0C"/>
    <w:rsid w:val="007365A6"/>
    <w:rsid w:val="007367EA"/>
    <w:rsid w:val="007377ED"/>
    <w:rsid w:val="00740FE0"/>
    <w:rsid w:val="00741274"/>
    <w:rsid w:val="00741DA5"/>
    <w:rsid w:val="00742531"/>
    <w:rsid w:val="00743B90"/>
    <w:rsid w:val="0074451B"/>
    <w:rsid w:val="00746AFE"/>
    <w:rsid w:val="00746B44"/>
    <w:rsid w:val="00750D9D"/>
    <w:rsid w:val="00752944"/>
    <w:rsid w:val="007563A1"/>
    <w:rsid w:val="007608C2"/>
    <w:rsid w:val="00760FD2"/>
    <w:rsid w:val="00762AE7"/>
    <w:rsid w:val="00763BCE"/>
    <w:rsid w:val="00763C96"/>
    <w:rsid w:val="00764162"/>
    <w:rsid w:val="00765CA6"/>
    <w:rsid w:val="00767456"/>
    <w:rsid w:val="00767B0F"/>
    <w:rsid w:val="00770438"/>
    <w:rsid w:val="00770DB3"/>
    <w:rsid w:val="007714C8"/>
    <w:rsid w:val="00772372"/>
    <w:rsid w:val="007729C7"/>
    <w:rsid w:val="00772E17"/>
    <w:rsid w:val="00773004"/>
    <w:rsid w:val="00774CBA"/>
    <w:rsid w:val="0077506E"/>
    <w:rsid w:val="00775ED7"/>
    <w:rsid w:val="00776DE0"/>
    <w:rsid w:val="0078162E"/>
    <w:rsid w:val="00783B1C"/>
    <w:rsid w:val="0078439D"/>
    <w:rsid w:val="0078466F"/>
    <w:rsid w:val="007853E0"/>
    <w:rsid w:val="00787621"/>
    <w:rsid w:val="007901BE"/>
    <w:rsid w:val="00791988"/>
    <w:rsid w:val="007932F8"/>
    <w:rsid w:val="00794D59"/>
    <w:rsid w:val="0079592D"/>
    <w:rsid w:val="00796253"/>
    <w:rsid w:val="007976EC"/>
    <w:rsid w:val="007A0570"/>
    <w:rsid w:val="007A0BAF"/>
    <w:rsid w:val="007A11D1"/>
    <w:rsid w:val="007A16B7"/>
    <w:rsid w:val="007A1818"/>
    <w:rsid w:val="007B05BB"/>
    <w:rsid w:val="007B0D7E"/>
    <w:rsid w:val="007B23A2"/>
    <w:rsid w:val="007B3B40"/>
    <w:rsid w:val="007B3F99"/>
    <w:rsid w:val="007B7464"/>
    <w:rsid w:val="007B7890"/>
    <w:rsid w:val="007B790A"/>
    <w:rsid w:val="007C09CF"/>
    <w:rsid w:val="007C16A7"/>
    <w:rsid w:val="007C191C"/>
    <w:rsid w:val="007C1E5E"/>
    <w:rsid w:val="007C1FA7"/>
    <w:rsid w:val="007C2900"/>
    <w:rsid w:val="007C4B75"/>
    <w:rsid w:val="007C5035"/>
    <w:rsid w:val="007C5C30"/>
    <w:rsid w:val="007C6B30"/>
    <w:rsid w:val="007C7D52"/>
    <w:rsid w:val="007D48DE"/>
    <w:rsid w:val="007D55D5"/>
    <w:rsid w:val="007D5B48"/>
    <w:rsid w:val="007E02FE"/>
    <w:rsid w:val="007E123F"/>
    <w:rsid w:val="007E1F6C"/>
    <w:rsid w:val="007E2C8A"/>
    <w:rsid w:val="007E36C6"/>
    <w:rsid w:val="007E4D05"/>
    <w:rsid w:val="007E685E"/>
    <w:rsid w:val="007E6FD6"/>
    <w:rsid w:val="007F0C3D"/>
    <w:rsid w:val="007F0DCB"/>
    <w:rsid w:val="007F150A"/>
    <w:rsid w:val="007F206B"/>
    <w:rsid w:val="007F38F0"/>
    <w:rsid w:val="007F44D2"/>
    <w:rsid w:val="007F4FA4"/>
    <w:rsid w:val="007F574E"/>
    <w:rsid w:val="007F62EE"/>
    <w:rsid w:val="007F7F35"/>
    <w:rsid w:val="00803035"/>
    <w:rsid w:val="00804413"/>
    <w:rsid w:val="0080489B"/>
    <w:rsid w:val="00810DF9"/>
    <w:rsid w:val="00810EFD"/>
    <w:rsid w:val="00812198"/>
    <w:rsid w:val="00812DA3"/>
    <w:rsid w:val="00815A6D"/>
    <w:rsid w:val="008170FB"/>
    <w:rsid w:val="00817781"/>
    <w:rsid w:val="00817799"/>
    <w:rsid w:val="008218BF"/>
    <w:rsid w:val="008223E3"/>
    <w:rsid w:val="00822980"/>
    <w:rsid w:val="00822E68"/>
    <w:rsid w:val="008236AD"/>
    <w:rsid w:val="00823F3C"/>
    <w:rsid w:val="0082571E"/>
    <w:rsid w:val="008259FD"/>
    <w:rsid w:val="008265CA"/>
    <w:rsid w:val="008268D4"/>
    <w:rsid w:val="00826D3C"/>
    <w:rsid w:val="0083009B"/>
    <w:rsid w:val="0083094E"/>
    <w:rsid w:val="00832BAC"/>
    <w:rsid w:val="00834CF4"/>
    <w:rsid w:val="008362EC"/>
    <w:rsid w:val="008368AC"/>
    <w:rsid w:val="00836A0C"/>
    <w:rsid w:val="00836C53"/>
    <w:rsid w:val="00837E95"/>
    <w:rsid w:val="00843722"/>
    <w:rsid w:val="00844BC9"/>
    <w:rsid w:val="00846060"/>
    <w:rsid w:val="00851D0D"/>
    <w:rsid w:val="00852E3E"/>
    <w:rsid w:val="00854532"/>
    <w:rsid w:val="008548A5"/>
    <w:rsid w:val="00854A70"/>
    <w:rsid w:val="0085512F"/>
    <w:rsid w:val="00855469"/>
    <w:rsid w:val="00855CE8"/>
    <w:rsid w:val="00860F08"/>
    <w:rsid w:val="00861307"/>
    <w:rsid w:val="00861EC2"/>
    <w:rsid w:val="00863882"/>
    <w:rsid w:val="00873FF7"/>
    <w:rsid w:val="0087436B"/>
    <w:rsid w:val="00874FD4"/>
    <w:rsid w:val="008755CB"/>
    <w:rsid w:val="00875C80"/>
    <w:rsid w:val="00875E51"/>
    <w:rsid w:val="00877231"/>
    <w:rsid w:val="00890DBE"/>
    <w:rsid w:val="0089538A"/>
    <w:rsid w:val="008A2B69"/>
    <w:rsid w:val="008A44E0"/>
    <w:rsid w:val="008A58B1"/>
    <w:rsid w:val="008B0593"/>
    <w:rsid w:val="008B0B63"/>
    <w:rsid w:val="008B3223"/>
    <w:rsid w:val="008B3D4C"/>
    <w:rsid w:val="008B4744"/>
    <w:rsid w:val="008B5CBA"/>
    <w:rsid w:val="008B6300"/>
    <w:rsid w:val="008B6363"/>
    <w:rsid w:val="008B6F07"/>
    <w:rsid w:val="008B72FB"/>
    <w:rsid w:val="008B7531"/>
    <w:rsid w:val="008B7A3C"/>
    <w:rsid w:val="008C0864"/>
    <w:rsid w:val="008C213D"/>
    <w:rsid w:val="008C228D"/>
    <w:rsid w:val="008C2A4A"/>
    <w:rsid w:val="008C3736"/>
    <w:rsid w:val="008C44CA"/>
    <w:rsid w:val="008C475D"/>
    <w:rsid w:val="008C5655"/>
    <w:rsid w:val="008C5DBC"/>
    <w:rsid w:val="008C780B"/>
    <w:rsid w:val="008D0A45"/>
    <w:rsid w:val="008D0AA1"/>
    <w:rsid w:val="008D120E"/>
    <w:rsid w:val="008D2324"/>
    <w:rsid w:val="008D29D7"/>
    <w:rsid w:val="008D2C85"/>
    <w:rsid w:val="008D4914"/>
    <w:rsid w:val="008D56BF"/>
    <w:rsid w:val="008D5C83"/>
    <w:rsid w:val="008D6786"/>
    <w:rsid w:val="008E02E1"/>
    <w:rsid w:val="008E0B05"/>
    <w:rsid w:val="008E11D6"/>
    <w:rsid w:val="008E1D00"/>
    <w:rsid w:val="008E59E4"/>
    <w:rsid w:val="008E5EEA"/>
    <w:rsid w:val="008E6DBB"/>
    <w:rsid w:val="008E76B3"/>
    <w:rsid w:val="008F23B4"/>
    <w:rsid w:val="00900593"/>
    <w:rsid w:val="00901282"/>
    <w:rsid w:val="00901B94"/>
    <w:rsid w:val="009028B6"/>
    <w:rsid w:val="00904F80"/>
    <w:rsid w:val="00904F9A"/>
    <w:rsid w:val="009050CC"/>
    <w:rsid w:val="00905A4C"/>
    <w:rsid w:val="00905D36"/>
    <w:rsid w:val="00906146"/>
    <w:rsid w:val="00906375"/>
    <w:rsid w:val="009064BD"/>
    <w:rsid w:val="009108F5"/>
    <w:rsid w:val="0091166C"/>
    <w:rsid w:val="00911671"/>
    <w:rsid w:val="00911EAC"/>
    <w:rsid w:val="00914DD4"/>
    <w:rsid w:val="00917627"/>
    <w:rsid w:val="0092183C"/>
    <w:rsid w:val="009222BB"/>
    <w:rsid w:val="00922573"/>
    <w:rsid w:val="00923C72"/>
    <w:rsid w:val="00924BAE"/>
    <w:rsid w:val="00925E5A"/>
    <w:rsid w:val="00926D5B"/>
    <w:rsid w:val="00927DB2"/>
    <w:rsid w:val="0093144B"/>
    <w:rsid w:val="009329C9"/>
    <w:rsid w:val="0093335A"/>
    <w:rsid w:val="00934295"/>
    <w:rsid w:val="00935438"/>
    <w:rsid w:val="00936B74"/>
    <w:rsid w:val="00944545"/>
    <w:rsid w:val="00945455"/>
    <w:rsid w:val="0094609D"/>
    <w:rsid w:val="00947E6E"/>
    <w:rsid w:val="009536BF"/>
    <w:rsid w:val="0095419C"/>
    <w:rsid w:val="00954346"/>
    <w:rsid w:val="00954BCE"/>
    <w:rsid w:val="00954DCD"/>
    <w:rsid w:val="0095543B"/>
    <w:rsid w:val="00955643"/>
    <w:rsid w:val="00957FC1"/>
    <w:rsid w:val="009607BD"/>
    <w:rsid w:val="00960CA8"/>
    <w:rsid w:val="00961B6F"/>
    <w:rsid w:val="00964A26"/>
    <w:rsid w:val="00965CAE"/>
    <w:rsid w:val="00966054"/>
    <w:rsid w:val="00966EA5"/>
    <w:rsid w:val="00967977"/>
    <w:rsid w:val="00967FE0"/>
    <w:rsid w:val="0097011B"/>
    <w:rsid w:val="009716BF"/>
    <w:rsid w:val="009737D8"/>
    <w:rsid w:val="00974726"/>
    <w:rsid w:val="009749BD"/>
    <w:rsid w:val="00974DDE"/>
    <w:rsid w:val="00975315"/>
    <w:rsid w:val="00975447"/>
    <w:rsid w:val="0097584B"/>
    <w:rsid w:val="0098038B"/>
    <w:rsid w:val="009807B9"/>
    <w:rsid w:val="009808BD"/>
    <w:rsid w:val="009825D4"/>
    <w:rsid w:val="0098339E"/>
    <w:rsid w:val="0098505C"/>
    <w:rsid w:val="0099049E"/>
    <w:rsid w:val="00990ED3"/>
    <w:rsid w:val="009926D2"/>
    <w:rsid w:val="00992F42"/>
    <w:rsid w:val="009930FA"/>
    <w:rsid w:val="009950D0"/>
    <w:rsid w:val="00996915"/>
    <w:rsid w:val="00996F78"/>
    <w:rsid w:val="009972ED"/>
    <w:rsid w:val="0099775F"/>
    <w:rsid w:val="009A106E"/>
    <w:rsid w:val="009A4111"/>
    <w:rsid w:val="009A455B"/>
    <w:rsid w:val="009A5197"/>
    <w:rsid w:val="009A5393"/>
    <w:rsid w:val="009A645A"/>
    <w:rsid w:val="009A73AB"/>
    <w:rsid w:val="009B047B"/>
    <w:rsid w:val="009B067A"/>
    <w:rsid w:val="009B1CE2"/>
    <w:rsid w:val="009B204B"/>
    <w:rsid w:val="009B21D7"/>
    <w:rsid w:val="009B2F23"/>
    <w:rsid w:val="009B3F23"/>
    <w:rsid w:val="009B45AC"/>
    <w:rsid w:val="009B680D"/>
    <w:rsid w:val="009C066B"/>
    <w:rsid w:val="009C2D3E"/>
    <w:rsid w:val="009C6AD2"/>
    <w:rsid w:val="009D2C78"/>
    <w:rsid w:val="009D343B"/>
    <w:rsid w:val="009D37EA"/>
    <w:rsid w:val="009D4A3A"/>
    <w:rsid w:val="009D5A5B"/>
    <w:rsid w:val="009D72FB"/>
    <w:rsid w:val="009E0D38"/>
    <w:rsid w:val="009E0E9C"/>
    <w:rsid w:val="009E16C0"/>
    <w:rsid w:val="009E1B11"/>
    <w:rsid w:val="009E2CEF"/>
    <w:rsid w:val="009E2D5B"/>
    <w:rsid w:val="009E3EE8"/>
    <w:rsid w:val="009E545B"/>
    <w:rsid w:val="009E609E"/>
    <w:rsid w:val="009E76EF"/>
    <w:rsid w:val="009F073C"/>
    <w:rsid w:val="009F17F2"/>
    <w:rsid w:val="009F23BD"/>
    <w:rsid w:val="009F24D9"/>
    <w:rsid w:val="009F2D96"/>
    <w:rsid w:val="009F3BB9"/>
    <w:rsid w:val="009F4A9D"/>
    <w:rsid w:val="009F4C43"/>
    <w:rsid w:val="009F6A4E"/>
    <w:rsid w:val="00A00C6F"/>
    <w:rsid w:val="00A015DC"/>
    <w:rsid w:val="00A020FA"/>
    <w:rsid w:val="00A021BC"/>
    <w:rsid w:val="00A0328F"/>
    <w:rsid w:val="00A0417E"/>
    <w:rsid w:val="00A04F12"/>
    <w:rsid w:val="00A0699F"/>
    <w:rsid w:val="00A06FDC"/>
    <w:rsid w:val="00A0717B"/>
    <w:rsid w:val="00A13C6D"/>
    <w:rsid w:val="00A162BE"/>
    <w:rsid w:val="00A21BAC"/>
    <w:rsid w:val="00A21FD4"/>
    <w:rsid w:val="00A225DB"/>
    <w:rsid w:val="00A22FE0"/>
    <w:rsid w:val="00A24AC4"/>
    <w:rsid w:val="00A25503"/>
    <w:rsid w:val="00A255B3"/>
    <w:rsid w:val="00A256BF"/>
    <w:rsid w:val="00A25B0B"/>
    <w:rsid w:val="00A2665A"/>
    <w:rsid w:val="00A26C2F"/>
    <w:rsid w:val="00A27AAE"/>
    <w:rsid w:val="00A32DC3"/>
    <w:rsid w:val="00A35C57"/>
    <w:rsid w:val="00A40A10"/>
    <w:rsid w:val="00A40E61"/>
    <w:rsid w:val="00A419D5"/>
    <w:rsid w:val="00A41F77"/>
    <w:rsid w:val="00A4206B"/>
    <w:rsid w:val="00A4243E"/>
    <w:rsid w:val="00A4262F"/>
    <w:rsid w:val="00A427B1"/>
    <w:rsid w:val="00A44E81"/>
    <w:rsid w:val="00A44FE9"/>
    <w:rsid w:val="00A46AD0"/>
    <w:rsid w:val="00A50A55"/>
    <w:rsid w:val="00A518FC"/>
    <w:rsid w:val="00A53C3B"/>
    <w:rsid w:val="00A53D28"/>
    <w:rsid w:val="00A56A79"/>
    <w:rsid w:val="00A5799B"/>
    <w:rsid w:val="00A6169D"/>
    <w:rsid w:val="00A652D4"/>
    <w:rsid w:val="00A660A3"/>
    <w:rsid w:val="00A701CC"/>
    <w:rsid w:val="00A72340"/>
    <w:rsid w:val="00A72902"/>
    <w:rsid w:val="00A73B51"/>
    <w:rsid w:val="00A74C1E"/>
    <w:rsid w:val="00A8039F"/>
    <w:rsid w:val="00A8079E"/>
    <w:rsid w:val="00A82D9F"/>
    <w:rsid w:val="00A85F75"/>
    <w:rsid w:val="00A86CC6"/>
    <w:rsid w:val="00A86E93"/>
    <w:rsid w:val="00A90F0C"/>
    <w:rsid w:val="00A91733"/>
    <w:rsid w:val="00A917B6"/>
    <w:rsid w:val="00A92C86"/>
    <w:rsid w:val="00A931D2"/>
    <w:rsid w:val="00A9368C"/>
    <w:rsid w:val="00A93D3E"/>
    <w:rsid w:val="00A9425A"/>
    <w:rsid w:val="00A96606"/>
    <w:rsid w:val="00AA035A"/>
    <w:rsid w:val="00AA048D"/>
    <w:rsid w:val="00AA0FCA"/>
    <w:rsid w:val="00AA155D"/>
    <w:rsid w:val="00AA21CD"/>
    <w:rsid w:val="00AA473B"/>
    <w:rsid w:val="00AA4A74"/>
    <w:rsid w:val="00AA6FE2"/>
    <w:rsid w:val="00AB11AB"/>
    <w:rsid w:val="00AB3653"/>
    <w:rsid w:val="00AB43E9"/>
    <w:rsid w:val="00AB4CD3"/>
    <w:rsid w:val="00AB5AEE"/>
    <w:rsid w:val="00AC0741"/>
    <w:rsid w:val="00AC1F55"/>
    <w:rsid w:val="00AC3300"/>
    <w:rsid w:val="00AC3CAD"/>
    <w:rsid w:val="00AC498C"/>
    <w:rsid w:val="00AC4F42"/>
    <w:rsid w:val="00AC7637"/>
    <w:rsid w:val="00AD7A56"/>
    <w:rsid w:val="00AE0C8C"/>
    <w:rsid w:val="00AE1C27"/>
    <w:rsid w:val="00AE37C0"/>
    <w:rsid w:val="00AE46D1"/>
    <w:rsid w:val="00AE51D6"/>
    <w:rsid w:val="00AE6096"/>
    <w:rsid w:val="00AE64F8"/>
    <w:rsid w:val="00AE6D02"/>
    <w:rsid w:val="00AF1AE1"/>
    <w:rsid w:val="00AF30E9"/>
    <w:rsid w:val="00AF43A3"/>
    <w:rsid w:val="00AF544F"/>
    <w:rsid w:val="00AF6129"/>
    <w:rsid w:val="00AF6E3B"/>
    <w:rsid w:val="00AF7D69"/>
    <w:rsid w:val="00B000B4"/>
    <w:rsid w:val="00B036BF"/>
    <w:rsid w:val="00B04307"/>
    <w:rsid w:val="00B06F5D"/>
    <w:rsid w:val="00B11344"/>
    <w:rsid w:val="00B113E2"/>
    <w:rsid w:val="00B12CF1"/>
    <w:rsid w:val="00B1381C"/>
    <w:rsid w:val="00B1381D"/>
    <w:rsid w:val="00B13AB3"/>
    <w:rsid w:val="00B14B8B"/>
    <w:rsid w:val="00B169E7"/>
    <w:rsid w:val="00B20080"/>
    <w:rsid w:val="00B2157A"/>
    <w:rsid w:val="00B235E8"/>
    <w:rsid w:val="00B24B55"/>
    <w:rsid w:val="00B27AFD"/>
    <w:rsid w:val="00B31D48"/>
    <w:rsid w:val="00B31DCA"/>
    <w:rsid w:val="00B331D8"/>
    <w:rsid w:val="00B33781"/>
    <w:rsid w:val="00B35742"/>
    <w:rsid w:val="00B35904"/>
    <w:rsid w:val="00B406C0"/>
    <w:rsid w:val="00B406E8"/>
    <w:rsid w:val="00B40CD8"/>
    <w:rsid w:val="00B41033"/>
    <w:rsid w:val="00B41150"/>
    <w:rsid w:val="00B4193D"/>
    <w:rsid w:val="00B42083"/>
    <w:rsid w:val="00B42111"/>
    <w:rsid w:val="00B42C8C"/>
    <w:rsid w:val="00B441BA"/>
    <w:rsid w:val="00B441F6"/>
    <w:rsid w:val="00B4423A"/>
    <w:rsid w:val="00B44F2E"/>
    <w:rsid w:val="00B45578"/>
    <w:rsid w:val="00B512C4"/>
    <w:rsid w:val="00B51BC8"/>
    <w:rsid w:val="00B51DDB"/>
    <w:rsid w:val="00B5235A"/>
    <w:rsid w:val="00B54D6B"/>
    <w:rsid w:val="00B5504D"/>
    <w:rsid w:val="00B55E1E"/>
    <w:rsid w:val="00B562E5"/>
    <w:rsid w:val="00B57510"/>
    <w:rsid w:val="00B606CE"/>
    <w:rsid w:val="00B6120E"/>
    <w:rsid w:val="00B6316A"/>
    <w:rsid w:val="00B63D24"/>
    <w:rsid w:val="00B6429B"/>
    <w:rsid w:val="00B66B37"/>
    <w:rsid w:val="00B67329"/>
    <w:rsid w:val="00B67AD0"/>
    <w:rsid w:val="00B70305"/>
    <w:rsid w:val="00B711F6"/>
    <w:rsid w:val="00B726AA"/>
    <w:rsid w:val="00B73D54"/>
    <w:rsid w:val="00B80B51"/>
    <w:rsid w:val="00B81A71"/>
    <w:rsid w:val="00B81B4D"/>
    <w:rsid w:val="00B83406"/>
    <w:rsid w:val="00B83D30"/>
    <w:rsid w:val="00B860AA"/>
    <w:rsid w:val="00B8777E"/>
    <w:rsid w:val="00B877CA"/>
    <w:rsid w:val="00B917AE"/>
    <w:rsid w:val="00B91894"/>
    <w:rsid w:val="00B91BB4"/>
    <w:rsid w:val="00B92F3C"/>
    <w:rsid w:val="00B9316B"/>
    <w:rsid w:val="00B93DF2"/>
    <w:rsid w:val="00B94DCD"/>
    <w:rsid w:val="00B972A7"/>
    <w:rsid w:val="00B976DC"/>
    <w:rsid w:val="00B979DC"/>
    <w:rsid w:val="00BA2762"/>
    <w:rsid w:val="00BA3D1B"/>
    <w:rsid w:val="00BA7299"/>
    <w:rsid w:val="00BA7871"/>
    <w:rsid w:val="00BB1A3B"/>
    <w:rsid w:val="00BB1EA4"/>
    <w:rsid w:val="00BB24AF"/>
    <w:rsid w:val="00BB2B23"/>
    <w:rsid w:val="00BB2F48"/>
    <w:rsid w:val="00BB381F"/>
    <w:rsid w:val="00BB6140"/>
    <w:rsid w:val="00BB64B2"/>
    <w:rsid w:val="00BB7062"/>
    <w:rsid w:val="00BC1254"/>
    <w:rsid w:val="00BC1617"/>
    <w:rsid w:val="00BC1B11"/>
    <w:rsid w:val="00BC26DA"/>
    <w:rsid w:val="00BC312D"/>
    <w:rsid w:val="00BC4B70"/>
    <w:rsid w:val="00BC60A8"/>
    <w:rsid w:val="00BC7380"/>
    <w:rsid w:val="00BC7A2E"/>
    <w:rsid w:val="00BD0C07"/>
    <w:rsid w:val="00BD3550"/>
    <w:rsid w:val="00BD3D8D"/>
    <w:rsid w:val="00BD5274"/>
    <w:rsid w:val="00BD5715"/>
    <w:rsid w:val="00BD7AAD"/>
    <w:rsid w:val="00BE0512"/>
    <w:rsid w:val="00BE0C0F"/>
    <w:rsid w:val="00BE135A"/>
    <w:rsid w:val="00BE1684"/>
    <w:rsid w:val="00BE2C93"/>
    <w:rsid w:val="00BE3A33"/>
    <w:rsid w:val="00BE4139"/>
    <w:rsid w:val="00BE428B"/>
    <w:rsid w:val="00BE6E2A"/>
    <w:rsid w:val="00BF1381"/>
    <w:rsid w:val="00BF1866"/>
    <w:rsid w:val="00BF1C2B"/>
    <w:rsid w:val="00BF1D31"/>
    <w:rsid w:val="00BF2037"/>
    <w:rsid w:val="00BF2FF5"/>
    <w:rsid w:val="00BF2FF8"/>
    <w:rsid w:val="00BF3634"/>
    <w:rsid w:val="00BF47DE"/>
    <w:rsid w:val="00C005D5"/>
    <w:rsid w:val="00C006C4"/>
    <w:rsid w:val="00C00E94"/>
    <w:rsid w:val="00C0168F"/>
    <w:rsid w:val="00C02F4B"/>
    <w:rsid w:val="00C0582D"/>
    <w:rsid w:val="00C10A03"/>
    <w:rsid w:val="00C11C5D"/>
    <w:rsid w:val="00C1230A"/>
    <w:rsid w:val="00C126E8"/>
    <w:rsid w:val="00C12889"/>
    <w:rsid w:val="00C14312"/>
    <w:rsid w:val="00C14320"/>
    <w:rsid w:val="00C16273"/>
    <w:rsid w:val="00C2015E"/>
    <w:rsid w:val="00C20402"/>
    <w:rsid w:val="00C2057E"/>
    <w:rsid w:val="00C213AB"/>
    <w:rsid w:val="00C21C57"/>
    <w:rsid w:val="00C24393"/>
    <w:rsid w:val="00C24839"/>
    <w:rsid w:val="00C25782"/>
    <w:rsid w:val="00C25F2D"/>
    <w:rsid w:val="00C3043F"/>
    <w:rsid w:val="00C30A02"/>
    <w:rsid w:val="00C319EA"/>
    <w:rsid w:val="00C33D30"/>
    <w:rsid w:val="00C34335"/>
    <w:rsid w:val="00C41A72"/>
    <w:rsid w:val="00C4232D"/>
    <w:rsid w:val="00C42366"/>
    <w:rsid w:val="00C428EF"/>
    <w:rsid w:val="00C4376B"/>
    <w:rsid w:val="00C4547B"/>
    <w:rsid w:val="00C466CC"/>
    <w:rsid w:val="00C46D57"/>
    <w:rsid w:val="00C474A5"/>
    <w:rsid w:val="00C47E1E"/>
    <w:rsid w:val="00C47E61"/>
    <w:rsid w:val="00C504E7"/>
    <w:rsid w:val="00C513F2"/>
    <w:rsid w:val="00C52C6B"/>
    <w:rsid w:val="00C53AC5"/>
    <w:rsid w:val="00C570B2"/>
    <w:rsid w:val="00C57F75"/>
    <w:rsid w:val="00C62FAE"/>
    <w:rsid w:val="00C6453C"/>
    <w:rsid w:val="00C64FE5"/>
    <w:rsid w:val="00C6677D"/>
    <w:rsid w:val="00C66BAD"/>
    <w:rsid w:val="00C676EC"/>
    <w:rsid w:val="00C71E15"/>
    <w:rsid w:val="00C7205F"/>
    <w:rsid w:val="00C743B7"/>
    <w:rsid w:val="00C74F12"/>
    <w:rsid w:val="00C7788E"/>
    <w:rsid w:val="00C81061"/>
    <w:rsid w:val="00C817B3"/>
    <w:rsid w:val="00C835E4"/>
    <w:rsid w:val="00C844FA"/>
    <w:rsid w:val="00C85A9B"/>
    <w:rsid w:val="00C85C6C"/>
    <w:rsid w:val="00C86FDE"/>
    <w:rsid w:val="00C87092"/>
    <w:rsid w:val="00C90207"/>
    <w:rsid w:val="00C902F5"/>
    <w:rsid w:val="00C90BBA"/>
    <w:rsid w:val="00C91269"/>
    <w:rsid w:val="00C92FB8"/>
    <w:rsid w:val="00C940A4"/>
    <w:rsid w:val="00C951A9"/>
    <w:rsid w:val="00C9617F"/>
    <w:rsid w:val="00C96E24"/>
    <w:rsid w:val="00C972F8"/>
    <w:rsid w:val="00C979E6"/>
    <w:rsid w:val="00CA3438"/>
    <w:rsid w:val="00CA35AF"/>
    <w:rsid w:val="00CA4531"/>
    <w:rsid w:val="00CA4B6D"/>
    <w:rsid w:val="00CA51CF"/>
    <w:rsid w:val="00CB3289"/>
    <w:rsid w:val="00CB5EF8"/>
    <w:rsid w:val="00CC096F"/>
    <w:rsid w:val="00CC27C5"/>
    <w:rsid w:val="00CC341E"/>
    <w:rsid w:val="00CC75A8"/>
    <w:rsid w:val="00CD07CB"/>
    <w:rsid w:val="00CD0D94"/>
    <w:rsid w:val="00CD1A23"/>
    <w:rsid w:val="00CD2E90"/>
    <w:rsid w:val="00CD4DC5"/>
    <w:rsid w:val="00CD65CB"/>
    <w:rsid w:val="00CD68B3"/>
    <w:rsid w:val="00CD6A21"/>
    <w:rsid w:val="00CD6FA6"/>
    <w:rsid w:val="00CE0510"/>
    <w:rsid w:val="00CE0BC4"/>
    <w:rsid w:val="00CE3C4B"/>
    <w:rsid w:val="00CE669F"/>
    <w:rsid w:val="00CF2FEF"/>
    <w:rsid w:val="00CF5B27"/>
    <w:rsid w:val="00D00C55"/>
    <w:rsid w:val="00D03AF1"/>
    <w:rsid w:val="00D04B4F"/>
    <w:rsid w:val="00D04F1E"/>
    <w:rsid w:val="00D057C5"/>
    <w:rsid w:val="00D06AE3"/>
    <w:rsid w:val="00D06D05"/>
    <w:rsid w:val="00D079CF"/>
    <w:rsid w:val="00D07BB9"/>
    <w:rsid w:val="00D118E7"/>
    <w:rsid w:val="00D11DC8"/>
    <w:rsid w:val="00D12D6D"/>
    <w:rsid w:val="00D14A1E"/>
    <w:rsid w:val="00D15434"/>
    <w:rsid w:val="00D162AE"/>
    <w:rsid w:val="00D163D4"/>
    <w:rsid w:val="00D17202"/>
    <w:rsid w:val="00D20801"/>
    <w:rsid w:val="00D21A55"/>
    <w:rsid w:val="00D2228B"/>
    <w:rsid w:val="00D225F6"/>
    <w:rsid w:val="00D261BE"/>
    <w:rsid w:val="00D30407"/>
    <w:rsid w:val="00D306A7"/>
    <w:rsid w:val="00D306B6"/>
    <w:rsid w:val="00D30B36"/>
    <w:rsid w:val="00D319C7"/>
    <w:rsid w:val="00D337A4"/>
    <w:rsid w:val="00D34BA9"/>
    <w:rsid w:val="00D35326"/>
    <w:rsid w:val="00D37BFF"/>
    <w:rsid w:val="00D4219A"/>
    <w:rsid w:val="00D424FE"/>
    <w:rsid w:val="00D42B16"/>
    <w:rsid w:val="00D438F2"/>
    <w:rsid w:val="00D43F6B"/>
    <w:rsid w:val="00D44A74"/>
    <w:rsid w:val="00D44CB2"/>
    <w:rsid w:val="00D51342"/>
    <w:rsid w:val="00D51AB4"/>
    <w:rsid w:val="00D51E29"/>
    <w:rsid w:val="00D5235A"/>
    <w:rsid w:val="00D53188"/>
    <w:rsid w:val="00D548D3"/>
    <w:rsid w:val="00D56621"/>
    <w:rsid w:val="00D60150"/>
    <w:rsid w:val="00D6111F"/>
    <w:rsid w:val="00D61DEB"/>
    <w:rsid w:val="00D61F7C"/>
    <w:rsid w:val="00D6212F"/>
    <w:rsid w:val="00D63BC0"/>
    <w:rsid w:val="00D65F69"/>
    <w:rsid w:val="00D665E7"/>
    <w:rsid w:val="00D66CD3"/>
    <w:rsid w:val="00D70B4C"/>
    <w:rsid w:val="00D71186"/>
    <w:rsid w:val="00D716F5"/>
    <w:rsid w:val="00D71DE7"/>
    <w:rsid w:val="00D74FFB"/>
    <w:rsid w:val="00D753C9"/>
    <w:rsid w:val="00D80660"/>
    <w:rsid w:val="00D821A9"/>
    <w:rsid w:val="00D833AF"/>
    <w:rsid w:val="00D85CA9"/>
    <w:rsid w:val="00D85FE7"/>
    <w:rsid w:val="00D86008"/>
    <w:rsid w:val="00D8607D"/>
    <w:rsid w:val="00D8741A"/>
    <w:rsid w:val="00D90090"/>
    <w:rsid w:val="00D90C0D"/>
    <w:rsid w:val="00D91931"/>
    <w:rsid w:val="00D92512"/>
    <w:rsid w:val="00D93CBF"/>
    <w:rsid w:val="00D9525B"/>
    <w:rsid w:val="00D95BE0"/>
    <w:rsid w:val="00D96280"/>
    <w:rsid w:val="00D96B7D"/>
    <w:rsid w:val="00D97D1A"/>
    <w:rsid w:val="00DA05DC"/>
    <w:rsid w:val="00DA3F1C"/>
    <w:rsid w:val="00DA4440"/>
    <w:rsid w:val="00DA534D"/>
    <w:rsid w:val="00DA5435"/>
    <w:rsid w:val="00DA620A"/>
    <w:rsid w:val="00DA6F33"/>
    <w:rsid w:val="00DB075C"/>
    <w:rsid w:val="00DB1299"/>
    <w:rsid w:val="00DB36C9"/>
    <w:rsid w:val="00DB3F04"/>
    <w:rsid w:val="00DB590E"/>
    <w:rsid w:val="00DB6079"/>
    <w:rsid w:val="00DB700A"/>
    <w:rsid w:val="00DC08DA"/>
    <w:rsid w:val="00DC33EC"/>
    <w:rsid w:val="00DC7575"/>
    <w:rsid w:val="00DC792C"/>
    <w:rsid w:val="00DD0797"/>
    <w:rsid w:val="00DD0B83"/>
    <w:rsid w:val="00DD1D48"/>
    <w:rsid w:val="00DD24B5"/>
    <w:rsid w:val="00DD24BC"/>
    <w:rsid w:val="00DD43F5"/>
    <w:rsid w:val="00DD4EDE"/>
    <w:rsid w:val="00DD5693"/>
    <w:rsid w:val="00DD5B38"/>
    <w:rsid w:val="00DD6A6C"/>
    <w:rsid w:val="00DE0F7A"/>
    <w:rsid w:val="00DE0F9C"/>
    <w:rsid w:val="00DE2FA7"/>
    <w:rsid w:val="00DE37E6"/>
    <w:rsid w:val="00DE387A"/>
    <w:rsid w:val="00DE3BB2"/>
    <w:rsid w:val="00DE5DEA"/>
    <w:rsid w:val="00DE638D"/>
    <w:rsid w:val="00DE7CD6"/>
    <w:rsid w:val="00DF06F7"/>
    <w:rsid w:val="00DF0A87"/>
    <w:rsid w:val="00DF0FC8"/>
    <w:rsid w:val="00DF2642"/>
    <w:rsid w:val="00DF2AC5"/>
    <w:rsid w:val="00DF3C49"/>
    <w:rsid w:val="00DF4E26"/>
    <w:rsid w:val="00DF5376"/>
    <w:rsid w:val="00DF58B0"/>
    <w:rsid w:val="00DF5DD8"/>
    <w:rsid w:val="00DF6655"/>
    <w:rsid w:val="00DF6671"/>
    <w:rsid w:val="00DF6BDD"/>
    <w:rsid w:val="00E007F6"/>
    <w:rsid w:val="00E01434"/>
    <w:rsid w:val="00E01A49"/>
    <w:rsid w:val="00E01DE0"/>
    <w:rsid w:val="00E020D0"/>
    <w:rsid w:val="00E03428"/>
    <w:rsid w:val="00E0377B"/>
    <w:rsid w:val="00E040FE"/>
    <w:rsid w:val="00E05AAA"/>
    <w:rsid w:val="00E10E37"/>
    <w:rsid w:val="00E113D5"/>
    <w:rsid w:val="00E13B3D"/>
    <w:rsid w:val="00E140CF"/>
    <w:rsid w:val="00E15425"/>
    <w:rsid w:val="00E160B9"/>
    <w:rsid w:val="00E16AD9"/>
    <w:rsid w:val="00E176A4"/>
    <w:rsid w:val="00E17CA0"/>
    <w:rsid w:val="00E203E2"/>
    <w:rsid w:val="00E20406"/>
    <w:rsid w:val="00E20C8C"/>
    <w:rsid w:val="00E20E3F"/>
    <w:rsid w:val="00E22307"/>
    <w:rsid w:val="00E23D52"/>
    <w:rsid w:val="00E25389"/>
    <w:rsid w:val="00E267F5"/>
    <w:rsid w:val="00E27F44"/>
    <w:rsid w:val="00E300B6"/>
    <w:rsid w:val="00E33CA1"/>
    <w:rsid w:val="00E348A7"/>
    <w:rsid w:val="00E35468"/>
    <w:rsid w:val="00E35AD4"/>
    <w:rsid w:val="00E37808"/>
    <w:rsid w:val="00E40484"/>
    <w:rsid w:val="00E40EDD"/>
    <w:rsid w:val="00E41A0F"/>
    <w:rsid w:val="00E41E14"/>
    <w:rsid w:val="00E4262B"/>
    <w:rsid w:val="00E42AE5"/>
    <w:rsid w:val="00E42DB5"/>
    <w:rsid w:val="00E46C7D"/>
    <w:rsid w:val="00E474F9"/>
    <w:rsid w:val="00E506E4"/>
    <w:rsid w:val="00E52250"/>
    <w:rsid w:val="00E52A52"/>
    <w:rsid w:val="00E52B03"/>
    <w:rsid w:val="00E53949"/>
    <w:rsid w:val="00E54D5D"/>
    <w:rsid w:val="00E554E9"/>
    <w:rsid w:val="00E57FB9"/>
    <w:rsid w:val="00E614F8"/>
    <w:rsid w:val="00E619BB"/>
    <w:rsid w:val="00E61BCE"/>
    <w:rsid w:val="00E62557"/>
    <w:rsid w:val="00E660FA"/>
    <w:rsid w:val="00E67130"/>
    <w:rsid w:val="00E672DB"/>
    <w:rsid w:val="00E67D70"/>
    <w:rsid w:val="00E709F3"/>
    <w:rsid w:val="00E72834"/>
    <w:rsid w:val="00E74237"/>
    <w:rsid w:val="00E761C5"/>
    <w:rsid w:val="00E77AA3"/>
    <w:rsid w:val="00E8048B"/>
    <w:rsid w:val="00E80691"/>
    <w:rsid w:val="00E814FD"/>
    <w:rsid w:val="00E83926"/>
    <w:rsid w:val="00E83D1E"/>
    <w:rsid w:val="00E851AC"/>
    <w:rsid w:val="00E86124"/>
    <w:rsid w:val="00E87586"/>
    <w:rsid w:val="00E926A9"/>
    <w:rsid w:val="00E94645"/>
    <w:rsid w:val="00E95481"/>
    <w:rsid w:val="00EA17E0"/>
    <w:rsid w:val="00EA25E9"/>
    <w:rsid w:val="00EA3266"/>
    <w:rsid w:val="00EA3A25"/>
    <w:rsid w:val="00EA463F"/>
    <w:rsid w:val="00EA4F90"/>
    <w:rsid w:val="00EA6E18"/>
    <w:rsid w:val="00EA7A86"/>
    <w:rsid w:val="00EB07C4"/>
    <w:rsid w:val="00EB1421"/>
    <w:rsid w:val="00EB1952"/>
    <w:rsid w:val="00EB2D76"/>
    <w:rsid w:val="00EB67B2"/>
    <w:rsid w:val="00EC096B"/>
    <w:rsid w:val="00EC0D9D"/>
    <w:rsid w:val="00EC33D5"/>
    <w:rsid w:val="00EC39BC"/>
    <w:rsid w:val="00EC57D5"/>
    <w:rsid w:val="00EC6AD1"/>
    <w:rsid w:val="00EC745B"/>
    <w:rsid w:val="00EC76C3"/>
    <w:rsid w:val="00EC7BFF"/>
    <w:rsid w:val="00ED0258"/>
    <w:rsid w:val="00ED0D70"/>
    <w:rsid w:val="00ED25C0"/>
    <w:rsid w:val="00ED265D"/>
    <w:rsid w:val="00ED3FD5"/>
    <w:rsid w:val="00ED431C"/>
    <w:rsid w:val="00ED488E"/>
    <w:rsid w:val="00ED4AAC"/>
    <w:rsid w:val="00ED54E9"/>
    <w:rsid w:val="00ED6071"/>
    <w:rsid w:val="00ED7929"/>
    <w:rsid w:val="00EE1865"/>
    <w:rsid w:val="00EE4621"/>
    <w:rsid w:val="00EE4C88"/>
    <w:rsid w:val="00EE736C"/>
    <w:rsid w:val="00EE7AF3"/>
    <w:rsid w:val="00EF098D"/>
    <w:rsid w:val="00EF0B92"/>
    <w:rsid w:val="00EF1208"/>
    <w:rsid w:val="00EF1251"/>
    <w:rsid w:val="00EF23F5"/>
    <w:rsid w:val="00EF24FA"/>
    <w:rsid w:val="00EF30C7"/>
    <w:rsid w:val="00EF4360"/>
    <w:rsid w:val="00EF5DC3"/>
    <w:rsid w:val="00EF7467"/>
    <w:rsid w:val="00F01E00"/>
    <w:rsid w:val="00F02181"/>
    <w:rsid w:val="00F03BA1"/>
    <w:rsid w:val="00F053CA"/>
    <w:rsid w:val="00F0563A"/>
    <w:rsid w:val="00F11F20"/>
    <w:rsid w:val="00F13F99"/>
    <w:rsid w:val="00F14D18"/>
    <w:rsid w:val="00F15787"/>
    <w:rsid w:val="00F15D75"/>
    <w:rsid w:val="00F1720F"/>
    <w:rsid w:val="00F172D3"/>
    <w:rsid w:val="00F1782B"/>
    <w:rsid w:val="00F17DC9"/>
    <w:rsid w:val="00F20AB7"/>
    <w:rsid w:val="00F21357"/>
    <w:rsid w:val="00F2215C"/>
    <w:rsid w:val="00F25809"/>
    <w:rsid w:val="00F2596F"/>
    <w:rsid w:val="00F263C6"/>
    <w:rsid w:val="00F32925"/>
    <w:rsid w:val="00F364BB"/>
    <w:rsid w:val="00F36691"/>
    <w:rsid w:val="00F375B7"/>
    <w:rsid w:val="00F40D5B"/>
    <w:rsid w:val="00F41B71"/>
    <w:rsid w:val="00F44BF0"/>
    <w:rsid w:val="00F456FE"/>
    <w:rsid w:val="00F45B2A"/>
    <w:rsid w:val="00F45B83"/>
    <w:rsid w:val="00F46E9A"/>
    <w:rsid w:val="00F47E98"/>
    <w:rsid w:val="00F50D1B"/>
    <w:rsid w:val="00F512FE"/>
    <w:rsid w:val="00F52638"/>
    <w:rsid w:val="00F5346B"/>
    <w:rsid w:val="00F53737"/>
    <w:rsid w:val="00F55C16"/>
    <w:rsid w:val="00F55F58"/>
    <w:rsid w:val="00F56F48"/>
    <w:rsid w:val="00F570FD"/>
    <w:rsid w:val="00F572FB"/>
    <w:rsid w:val="00F602F0"/>
    <w:rsid w:val="00F61EAD"/>
    <w:rsid w:val="00F633FA"/>
    <w:rsid w:val="00F63F78"/>
    <w:rsid w:val="00F646E8"/>
    <w:rsid w:val="00F6476F"/>
    <w:rsid w:val="00F64816"/>
    <w:rsid w:val="00F670AF"/>
    <w:rsid w:val="00F67240"/>
    <w:rsid w:val="00F67A40"/>
    <w:rsid w:val="00F67AF6"/>
    <w:rsid w:val="00F71D19"/>
    <w:rsid w:val="00F72EE3"/>
    <w:rsid w:val="00F774D4"/>
    <w:rsid w:val="00F8042F"/>
    <w:rsid w:val="00F806EE"/>
    <w:rsid w:val="00F81931"/>
    <w:rsid w:val="00F824D1"/>
    <w:rsid w:val="00F87010"/>
    <w:rsid w:val="00F876F9"/>
    <w:rsid w:val="00F87E8F"/>
    <w:rsid w:val="00F90B26"/>
    <w:rsid w:val="00F92AA1"/>
    <w:rsid w:val="00F936C9"/>
    <w:rsid w:val="00F966D6"/>
    <w:rsid w:val="00FA0395"/>
    <w:rsid w:val="00FA3725"/>
    <w:rsid w:val="00FA5E99"/>
    <w:rsid w:val="00FA7808"/>
    <w:rsid w:val="00FA799E"/>
    <w:rsid w:val="00FA7A41"/>
    <w:rsid w:val="00FB24C5"/>
    <w:rsid w:val="00FB2C0E"/>
    <w:rsid w:val="00FB2D9B"/>
    <w:rsid w:val="00FB45B9"/>
    <w:rsid w:val="00FB57CD"/>
    <w:rsid w:val="00FC1469"/>
    <w:rsid w:val="00FC2D35"/>
    <w:rsid w:val="00FC2D3D"/>
    <w:rsid w:val="00FC30D7"/>
    <w:rsid w:val="00FC3FB9"/>
    <w:rsid w:val="00FC3FDF"/>
    <w:rsid w:val="00FC7B53"/>
    <w:rsid w:val="00FD13A2"/>
    <w:rsid w:val="00FD190C"/>
    <w:rsid w:val="00FD374B"/>
    <w:rsid w:val="00FD4DC9"/>
    <w:rsid w:val="00FD572B"/>
    <w:rsid w:val="00FD5A34"/>
    <w:rsid w:val="00FD7785"/>
    <w:rsid w:val="00FE07DD"/>
    <w:rsid w:val="00FE0FAB"/>
    <w:rsid w:val="00FE0FE5"/>
    <w:rsid w:val="00FE3183"/>
    <w:rsid w:val="00FE4F5F"/>
    <w:rsid w:val="00FF11F3"/>
    <w:rsid w:val="00FF14D2"/>
    <w:rsid w:val="00FF1676"/>
    <w:rsid w:val="00FF1BB8"/>
    <w:rsid w:val="00FF26DD"/>
    <w:rsid w:val="00FF30B4"/>
    <w:rsid w:val="00FF42FC"/>
    <w:rsid w:val="00FF46ED"/>
    <w:rsid w:val="00FF4967"/>
    <w:rsid w:val="00FF54CF"/>
    <w:rsid w:val="00FF5773"/>
    <w:rsid w:val="00FF5B96"/>
    <w:rsid w:val="00FF733F"/>
    <w:rsid w:val="00FF7A60"/>
    <w:rsid w:val="00FF7CD3"/>
    <w:rsid w:val="010A3874"/>
    <w:rsid w:val="01362B5E"/>
    <w:rsid w:val="03AD56DB"/>
    <w:rsid w:val="0560141B"/>
    <w:rsid w:val="0629670C"/>
    <w:rsid w:val="08305115"/>
    <w:rsid w:val="0BF22DC9"/>
    <w:rsid w:val="0DEF20F7"/>
    <w:rsid w:val="124A62D6"/>
    <w:rsid w:val="12915897"/>
    <w:rsid w:val="12AF73A9"/>
    <w:rsid w:val="131B527F"/>
    <w:rsid w:val="15D81A22"/>
    <w:rsid w:val="165A1015"/>
    <w:rsid w:val="16BB3AC4"/>
    <w:rsid w:val="171A29B6"/>
    <w:rsid w:val="18B95E1D"/>
    <w:rsid w:val="196D1678"/>
    <w:rsid w:val="1AEC38F5"/>
    <w:rsid w:val="1BBB3A73"/>
    <w:rsid w:val="1C6B4DCD"/>
    <w:rsid w:val="1D246E15"/>
    <w:rsid w:val="1E03236A"/>
    <w:rsid w:val="1FC30648"/>
    <w:rsid w:val="211461E5"/>
    <w:rsid w:val="22180CAA"/>
    <w:rsid w:val="23CB65D7"/>
    <w:rsid w:val="256D219E"/>
    <w:rsid w:val="26DC5DD7"/>
    <w:rsid w:val="29601225"/>
    <w:rsid w:val="2B04323D"/>
    <w:rsid w:val="2B275F0E"/>
    <w:rsid w:val="2B6D545C"/>
    <w:rsid w:val="2C036451"/>
    <w:rsid w:val="2E6B2CE2"/>
    <w:rsid w:val="2F673201"/>
    <w:rsid w:val="306171C9"/>
    <w:rsid w:val="3159404E"/>
    <w:rsid w:val="31970D15"/>
    <w:rsid w:val="31E35B4B"/>
    <w:rsid w:val="338F1153"/>
    <w:rsid w:val="342B7A54"/>
    <w:rsid w:val="346B6C1E"/>
    <w:rsid w:val="346F332D"/>
    <w:rsid w:val="357F65A1"/>
    <w:rsid w:val="35AA7160"/>
    <w:rsid w:val="36226F4E"/>
    <w:rsid w:val="38D0008B"/>
    <w:rsid w:val="3BB966B9"/>
    <w:rsid w:val="3C11538E"/>
    <w:rsid w:val="3DD40D2B"/>
    <w:rsid w:val="3F5B579C"/>
    <w:rsid w:val="400539A4"/>
    <w:rsid w:val="40C410B6"/>
    <w:rsid w:val="41CE0BEF"/>
    <w:rsid w:val="421B436A"/>
    <w:rsid w:val="42992646"/>
    <w:rsid w:val="430E1239"/>
    <w:rsid w:val="450C1D22"/>
    <w:rsid w:val="45CB1208"/>
    <w:rsid w:val="45F83A8B"/>
    <w:rsid w:val="46F53DAE"/>
    <w:rsid w:val="48622D98"/>
    <w:rsid w:val="4A0518FC"/>
    <w:rsid w:val="4A3B238B"/>
    <w:rsid w:val="4D40192A"/>
    <w:rsid w:val="4EC90B59"/>
    <w:rsid w:val="4EE324AE"/>
    <w:rsid w:val="507166EF"/>
    <w:rsid w:val="518F3E69"/>
    <w:rsid w:val="53815B57"/>
    <w:rsid w:val="53AF3FA9"/>
    <w:rsid w:val="543476D5"/>
    <w:rsid w:val="55367FC5"/>
    <w:rsid w:val="55A82BCD"/>
    <w:rsid w:val="56340117"/>
    <w:rsid w:val="56C318DD"/>
    <w:rsid w:val="57350B09"/>
    <w:rsid w:val="596A69AC"/>
    <w:rsid w:val="5BE866AE"/>
    <w:rsid w:val="5E68321B"/>
    <w:rsid w:val="5F533F86"/>
    <w:rsid w:val="5F6103CF"/>
    <w:rsid w:val="5FE35048"/>
    <w:rsid w:val="60015944"/>
    <w:rsid w:val="60973034"/>
    <w:rsid w:val="62EF366A"/>
    <w:rsid w:val="63E90193"/>
    <w:rsid w:val="649E7153"/>
    <w:rsid w:val="6646257D"/>
    <w:rsid w:val="666D48E2"/>
    <w:rsid w:val="67377765"/>
    <w:rsid w:val="67BB34BF"/>
    <w:rsid w:val="681C4A7A"/>
    <w:rsid w:val="68A14168"/>
    <w:rsid w:val="69DC2F4C"/>
    <w:rsid w:val="69FD51E1"/>
    <w:rsid w:val="6A4A7A6C"/>
    <w:rsid w:val="6D974A68"/>
    <w:rsid w:val="6DA21B35"/>
    <w:rsid w:val="6DD30BA2"/>
    <w:rsid w:val="6DD71520"/>
    <w:rsid w:val="6EA56FF3"/>
    <w:rsid w:val="6EBA5BCA"/>
    <w:rsid w:val="6EE62032"/>
    <w:rsid w:val="70402023"/>
    <w:rsid w:val="726759F8"/>
    <w:rsid w:val="726F7288"/>
    <w:rsid w:val="756B3C28"/>
    <w:rsid w:val="773D06DA"/>
    <w:rsid w:val="780072C2"/>
    <w:rsid w:val="78921CE6"/>
    <w:rsid w:val="78BD16CF"/>
    <w:rsid w:val="79DC6563"/>
    <w:rsid w:val="7AD941EB"/>
    <w:rsid w:val="7C17728B"/>
    <w:rsid w:val="7CE00ED3"/>
    <w:rsid w:val="7CFF2739"/>
    <w:rsid w:val="7D221AE7"/>
    <w:rsid w:val="7EED7C6B"/>
    <w:rsid w:val="7F483406"/>
    <w:rsid w:val="7F741CBB"/>
    <w:rsid w:val="7FD43D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Lines="50" w:line="300" w:lineRule="auto"/>
      <w:ind w:left="960" w:leftChars="4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61"/>
    <w:qFormat/>
    <w:uiPriority w:val="0"/>
    <w:pPr>
      <w:keepNext/>
      <w:keepLines/>
      <w:numPr>
        <w:ilvl w:val="0"/>
        <w:numId w:val="1"/>
      </w:numPr>
      <w:ind w:left="0" w:leftChars="0"/>
      <w:jc w:val="left"/>
      <w:outlineLvl w:val="0"/>
    </w:pPr>
    <w:rPr>
      <w:rFonts w:ascii="华文新魏" w:eastAsia="黑体"/>
      <w:b/>
      <w:bCs/>
      <w:kern w:val="44"/>
      <w:sz w:val="36"/>
      <w:szCs w:val="44"/>
    </w:rPr>
  </w:style>
  <w:style w:type="paragraph" w:styleId="3">
    <w:name w:val="heading 2"/>
    <w:basedOn w:val="1"/>
    <w:next w:val="1"/>
    <w:link w:val="63"/>
    <w:qFormat/>
    <w:uiPriority w:val="0"/>
    <w:pPr>
      <w:keepNext/>
      <w:keepLines/>
      <w:spacing w:afterLines="50"/>
      <w:ind w:left="0" w:leftChars="0"/>
      <w:outlineLvl w:val="1"/>
    </w:pPr>
    <w:rPr>
      <w:rFonts w:ascii="黑体" w:hAnsi="黑体" w:eastAsia="黑体"/>
      <w:b/>
      <w:bCs/>
      <w:sz w:val="30"/>
    </w:rPr>
  </w:style>
  <w:style w:type="paragraph" w:styleId="4">
    <w:name w:val="heading 3"/>
    <w:basedOn w:val="1"/>
    <w:next w:val="1"/>
    <w:link w:val="64"/>
    <w:qFormat/>
    <w:uiPriority w:val="0"/>
    <w:pPr>
      <w:keepNext/>
      <w:keepLines/>
      <w:numPr>
        <w:ilvl w:val="2"/>
        <w:numId w:val="2"/>
      </w:numPr>
      <w:spacing w:beforeLines="100"/>
      <w:ind w:left="0" w:leftChars="0"/>
      <w:outlineLvl w:val="2"/>
    </w:pPr>
    <w:rPr>
      <w:b/>
      <w:bCs/>
      <w:sz w:val="28"/>
      <w:szCs w:val="28"/>
    </w:rPr>
  </w:style>
  <w:style w:type="paragraph" w:styleId="5">
    <w:name w:val="heading 4"/>
    <w:basedOn w:val="1"/>
    <w:next w:val="1"/>
    <w:link w:val="71"/>
    <w:qFormat/>
    <w:uiPriority w:val="0"/>
    <w:pPr>
      <w:keepNext/>
      <w:keepLines/>
      <w:numPr>
        <w:ilvl w:val="3"/>
        <w:numId w:val="1"/>
      </w:numPr>
      <w:spacing w:before="280" w:after="290" w:line="376" w:lineRule="auto"/>
      <w:outlineLvl w:val="3"/>
    </w:pPr>
    <w:rPr>
      <w:rFonts w:ascii="Cambria" w:hAnsi="Cambria"/>
      <w:b/>
      <w:bCs/>
      <w:sz w:val="28"/>
      <w:szCs w:val="28"/>
    </w:rPr>
  </w:style>
  <w:style w:type="paragraph" w:styleId="6">
    <w:name w:val="heading 5"/>
    <w:basedOn w:val="1"/>
    <w:next w:val="1"/>
    <w:link w:val="83"/>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74"/>
    <w:qFormat/>
    <w:uiPriority w:val="0"/>
    <w:pPr>
      <w:keepNext/>
      <w:keepLines/>
      <w:numPr>
        <w:ilvl w:val="5"/>
        <w:numId w:val="1"/>
      </w:numPr>
      <w:spacing w:before="240" w:after="64" w:line="320" w:lineRule="atLeast"/>
      <w:outlineLvl w:val="5"/>
    </w:pPr>
    <w:rPr>
      <w:rFonts w:ascii="Arial" w:hAnsi="Arial" w:eastAsia="黑体"/>
      <w:b/>
      <w:bCs/>
    </w:rPr>
  </w:style>
  <w:style w:type="paragraph" w:styleId="8">
    <w:name w:val="heading 7"/>
    <w:basedOn w:val="1"/>
    <w:next w:val="1"/>
    <w:link w:val="75"/>
    <w:qFormat/>
    <w:uiPriority w:val="0"/>
    <w:pPr>
      <w:keepNext/>
      <w:keepLines/>
      <w:numPr>
        <w:ilvl w:val="6"/>
        <w:numId w:val="1"/>
      </w:numPr>
      <w:spacing w:before="240" w:after="64" w:line="320" w:lineRule="atLeast"/>
      <w:outlineLvl w:val="6"/>
    </w:pPr>
    <w:rPr>
      <w:b/>
      <w:bCs/>
    </w:rPr>
  </w:style>
  <w:style w:type="paragraph" w:styleId="9">
    <w:name w:val="heading 8"/>
    <w:basedOn w:val="1"/>
    <w:next w:val="1"/>
    <w:link w:val="76"/>
    <w:qFormat/>
    <w:uiPriority w:val="0"/>
    <w:pPr>
      <w:keepNext/>
      <w:keepLines/>
      <w:numPr>
        <w:ilvl w:val="7"/>
        <w:numId w:val="1"/>
      </w:numPr>
      <w:spacing w:before="240" w:after="64" w:line="320" w:lineRule="atLeast"/>
      <w:outlineLvl w:val="7"/>
    </w:pPr>
    <w:rPr>
      <w:rFonts w:ascii="Arial" w:hAnsi="Arial" w:eastAsia="黑体"/>
    </w:rPr>
  </w:style>
  <w:style w:type="paragraph" w:styleId="10">
    <w:name w:val="heading 9"/>
    <w:basedOn w:val="1"/>
    <w:next w:val="1"/>
    <w:link w:val="77"/>
    <w:qFormat/>
    <w:uiPriority w:val="0"/>
    <w:pPr>
      <w:keepNext/>
      <w:keepLines/>
      <w:numPr>
        <w:ilvl w:val="8"/>
        <w:numId w:val="1"/>
      </w:numPr>
      <w:spacing w:before="240" w:after="64" w:line="320" w:lineRule="atLeast"/>
      <w:outlineLvl w:val="8"/>
    </w:pPr>
    <w:rPr>
      <w:rFonts w:ascii="Arial" w:hAnsi="Arial" w:eastAsia="黑体"/>
      <w:sz w:val="21"/>
      <w:szCs w:val="21"/>
    </w:rPr>
  </w:style>
  <w:style w:type="character" w:default="1" w:styleId="48">
    <w:name w:val="Default Paragraph Font"/>
    <w:semiHidden/>
    <w:unhideWhenUsed/>
    <w:qFormat/>
    <w:uiPriority w:val="1"/>
  </w:style>
  <w:style w:type="table" w:default="1" w:styleId="55">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117"/>
    <w:qFormat/>
    <w:uiPriority w:val="0"/>
    <w:pPr>
      <w:spacing w:line="240" w:lineRule="auto"/>
    </w:pPr>
    <w:rPr>
      <w:b/>
      <w:bCs/>
      <w:sz w:val="21"/>
    </w:rPr>
  </w:style>
  <w:style w:type="paragraph" w:styleId="12">
    <w:name w:val="annotation text"/>
    <w:basedOn w:val="1"/>
    <w:link w:val="101"/>
    <w:qFormat/>
    <w:uiPriority w:val="0"/>
    <w:pPr>
      <w:spacing w:line="360" w:lineRule="auto"/>
      <w:jc w:val="left"/>
    </w:pPr>
    <w:rPr>
      <w:rFonts w:ascii="Arial" w:hAnsi="Arial"/>
    </w:rPr>
  </w:style>
  <w:style w:type="paragraph" w:styleId="13">
    <w:name w:val="toc 7"/>
    <w:basedOn w:val="1"/>
    <w:next w:val="1"/>
    <w:unhideWhenUsed/>
    <w:qFormat/>
    <w:uiPriority w:val="39"/>
    <w:pPr>
      <w:ind w:left="1260"/>
      <w:jc w:val="left"/>
    </w:pPr>
    <w:rPr>
      <w:sz w:val="18"/>
      <w:szCs w:val="18"/>
    </w:rPr>
  </w:style>
  <w:style w:type="paragraph" w:styleId="14">
    <w:name w:val="index 8"/>
    <w:basedOn w:val="1"/>
    <w:next w:val="1"/>
    <w:qFormat/>
    <w:uiPriority w:val="0"/>
    <w:pPr>
      <w:ind w:left="1400" w:leftChars="1400"/>
    </w:pPr>
  </w:style>
  <w:style w:type="paragraph" w:styleId="15">
    <w:name w:val="Normal Indent"/>
    <w:basedOn w:val="1"/>
    <w:qFormat/>
    <w:uiPriority w:val="0"/>
    <w:pPr>
      <w:spacing w:line="540" w:lineRule="exact"/>
      <w:ind w:firstLine="200" w:firstLineChars="200"/>
    </w:pPr>
  </w:style>
  <w:style w:type="paragraph" w:styleId="16">
    <w:name w:val="caption"/>
    <w:basedOn w:val="1"/>
    <w:next w:val="1"/>
    <w:link w:val="78"/>
    <w:qFormat/>
    <w:uiPriority w:val="0"/>
    <w:pPr>
      <w:spacing w:line="360" w:lineRule="auto"/>
      <w:ind w:firstLine="200" w:firstLineChars="200"/>
    </w:pPr>
    <w:rPr>
      <w:rFonts w:ascii="Cambria" w:hAnsi="Cambria" w:eastAsia="黑体"/>
      <w:kern w:val="0"/>
      <w:sz w:val="20"/>
      <w:szCs w:val="20"/>
    </w:rPr>
  </w:style>
  <w:style w:type="paragraph" w:styleId="17">
    <w:name w:val="index 5"/>
    <w:basedOn w:val="1"/>
    <w:next w:val="1"/>
    <w:qFormat/>
    <w:uiPriority w:val="0"/>
    <w:pPr>
      <w:ind w:left="800" w:leftChars="800"/>
    </w:pPr>
  </w:style>
  <w:style w:type="paragraph" w:styleId="18">
    <w:name w:val="Document Map"/>
    <w:basedOn w:val="1"/>
    <w:link w:val="147"/>
    <w:semiHidden/>
    <w:qFormat/>
    <w:uiPriority w:val="0"/>
    <w:pPr>
      <w:shd w:val="clear" w:color="auto" w:fill="000080"/>
    </w:pPr>
  </w:style>
  <w:style w:type="paragraph" w:styleId="19">
    <w:name w:val="index 6"/>
    <w:basedOn w:val="1"/>
    <w:next w:val="1"/>
    <w:qFormat/>
    <w:uiPriority w:val="0"/>
    <w:pPr>
      <w:ind w:left="1000" w:leftChars="1000"/>
    </w:pPr>
  </w:style>
  <w:style w:type="paragraph" w:styleId="20">
    <w:name w:val="Body Text"/>
    <w:basedOn w:val="1"/>
    <w:link w:val="125"/>
    <w:qFormat/>
    <w:uiPriority w:val="0"/>
    <w:pPr>
      <w:spacing w:afterLines="50" w:line="440" w:lineRule="exact"/>
    </w:pPr>
    <w:rPr>
      <w:rFonts w:ascii="宋体" w:hAnsi="宋体"/>
    </w:rPr>
  </w:style>
  <w:style w:type="paragraph" w:styleId="21">
    <w:name w:val="Body Text Indent"/>
    <w:basedOn w:val="1"/>
    <w:link w:val="73"/>
    <w:qFormat/>
    <w:uiPriority w:val="0"/>
    <w:pPr>
      <w:spacing w:after="120"/>
      <w:ind w:left="420" w:leftChars="200"/>
    </w:pPr>
    <w:rPr>
      <w:kern w:val="0"/>
      <w:sz w:val="21"/>
    </w:rPr>
  </w:style>
  <w:style w:type="paragraph" w:styleId="22">
    <w:name w:val="index 4"/>
    <w:basedOn w:val="1"/>
    <w:next w:val="1"/>
    <w:qFormat/>
    <w:uiPriority w:val="0"/>
    <w:pPr>
      <w:ind w:left="600" w:leftChars="600"/>
    </w:pPr>
  </w:style>
  <w:style w:type="paragraph" w:styleId="23">
    <w:name w:val="toc 5"/>
    <w:basedOn w:val="1"/>
    <w:next w:val="1"/>
    <w:unhideWhenUsed/>
    <w:qFormat/>
    <w:uiPriority w:val="39"/>
    <w:pPr>
      <w:ind w:left="840"/>
      <w:jc w:val="left"/>
    </w:pPr>
    <w:rPr>
      <w:sz w:val="18"/>
      <w:szCs w:val="18"/>
    </w:rPr>
  </w:style>
  <w:style w:type="paragraph" w:styleId="24">
    <w:name w:val="toc 3"/>
    <w:basedOn w:val="1"/>
    <w:next w:val="1"/>
    <w:qFormat/>
    <w:uiPriority w:val="39"/>
    <w:pPr>
      <w:ind w:left="420"/>
      <w:jc w:val="left"/>
    </w:pPr>
    <w:rPr>
      <w:i/>
      <w:iCs/>
      <w:sz w:val="20"/>
      <w:szCs w:val="20"/>
    </w:rPr>
  </w:style>
  <w:style w:type="paragraph" w:styleId="25">
    <w:name w:val="Plain Text"/>
    <w:basedOn w:val="1"/>
    <w:link w:val="88"/>
    <w:qFormat/>
    <w:uiPriority w:val="0"/>
    <w:rPr>
      <w:rFonts w:ascii="宋体" w:hAnsi="Courier New"/>
      <w:sz w:val="21"/>
      <w:szCs w:val="21"/>
    </w:rPr>
  </w:style>
  <w:style w:type="paragraph" w:styleId="26">
    <w:name w:val="toc 8"/>
    <w:basedOn w:val="1"/>
    <w:next w:val="1"/>
    <w:unhideWhenUsed/>
    <w:qFormat/>
    <w:uiPriority w:val="39"/>
    <w:pPr>
      <w:ind w:left="1470"/>
      <w:jc w:val="left"/>
    </w:pPr>
    <w:rPr>
      <w:sz w:val="18"/>
      <w:szCs w:val="18"/>
    </w:rPr>
  </w:style>
  <w:style w:type="paragraph" w:styleId="27">
    <w:name w:val="index 3"/>
    <w:basedOn w:val="1"/>
    <w:next w:val="1"/>
    <w:qFormat/>
    <w:uiPriority w:val="0"/>
    <w:pPr>
      <w:ind w:left="400"/>
    </w:pPr>
  </w:style>
  <w:style w:type="paragraph" w:styleId="28">
    <w:name w:val="Date"/>
    <w:basedOn w:val="1"/>
    <w:next w:val="1"/>
    <w:link w:val="84"/>
    <w:qFormat/>
    <w:uiPriority w:val="0"/>
    <w:pPr>
      <w:ind w:left="100" w:leftChars="2500"/>
    </w:pPr>
    <w:rPr>
      <w:b/>
      <w:bCs/>
    </w:rPr>
  </w:style>
  <w:style w:type="paragraph" w:styleId="29">
    <w:name w:val="Body Text Indent 2"/>
    <w:basedOn w:val="1"/>
    <w:link w:val="85"/>
    <w:qFormat/>
    <w:uiPriority w:val="0"/>
    <w:pPr>
      <w:spacing w:beforeLines="100" w:afterLines="100" w:line="560" w:lineRule="exact"/>
      <w:ind w:firstLine="538" w:firstLineChars="192"/>
    </w:pPr>
    <w:rPr>
      <w:rFonts w:ascii="宋体" w:hAnsi="宋体"/>
      <w:sz w:val="28"/>
    </w:rPr>
  </w:style>
  <w:style w:type="paragraph" w:styleId="30">
    <w:name w:val="Balloon Text"/>
    <w:basedOn w:val="1"/>
    <w:link w:val="81"/>
    <w:qFormat/>
    <w:uiPriority w:val="0"/>
    <w:rPr>
      <w:kern w:val="0"/>
      <w:sz w:val="18"/>
      <w:szCs w:val="18"/>
    </w:rPr>
  </w:style>
  <w:style w:type="paragraph" w:styleId="31">
    <w:name w:val="footer"/>
    <w:basedOn w:val="1"/>
    <w:link w:val="70"/>
    <w:qFormat/>
    <w:uiPriority w:val="99"/>
    <w:pPr>
      <w:tabs>
        <w:tab w:val="center" w:pos="4153"/>
        <w:tab w:val="right" w:pos="8306"/>
      </w:tabs>
      <w:snapToGrid w:val="0"/>
      <w:jc w:val="left"/>
    </w:pPr>
    <w:rPr>
      <w:kern w:val="0"/>
      <w:sz w:val="18"/>
      <w:szCs w:val="18"/>
    </w:rPr>
  </w:style>
  <w:style w:type="paragraph" w:styleId="32">
    <w:name w:val="header"/>
    <w:basedOn w:val="1"/>
    <w:link w:val="79"/>
    <w:qFormat/>
    <w:uiPriority w:val="99"/>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tabs>
        <w:tab w:val="right" w:leader="dot" w:pos="8296"/>
      </w:tabs>
      <w:spacing w:before="120" w:after="120"/>
      <w:jc w:val="left"/>
    </w:pPr>
    <w:rPr>
      <w:rFonts w:ascii="黑体" w:eastAsia="黑体"/>
      <w:b/>
      <w:bCs/>
      <w:caps/>
      <w:sz w:val="28"/>
      <w:szCs w:val="28"/>
    </w:rPr>
  </w:style>
  <w:style w:type="paragraph" w:styleId="34">
    <w:name w:val="toc 4"/>
    <w:basedOn w:val="1"/>
    <w:next w:val="1"/>
    <w:unhideWhenUsed/>
    <w:qFormat/>
    <w:uiPriority w:val="39"/>
    <w:pPr>
      <w:ind w:left="630"/>
      <w:jc w:val="left"/>
    </w:pPr>
    <w:rPr>
      <w:sz w:val="18"/>
      <w:szCs w:val="18"/>
    </w:rPr>
  </w:style>
  <w:style w:type="paragraph" w:styleId="35">
    <w:name w:val="index heading"/>
    <w:basedOn w:val="1"/>
    <w:next w:val="36"/>
    <w:qFormat/>
    <w:uiPriority w:val="0"/>
  </w:style>
  <w:style w:type="paragraph" w:styleId="36">
    <w:name w:val="index 1"/>
    <w:basedOn w:val="1"/>
    <w:next w:val="1"/>
    <w:semiHidden/>
    <w:qFormat/>
    <w:uiPriority w:val="0"/>
  </w:style>
  <w:style w:type="paragraph" w:styleId="37">
    <w:name w:val="footnote text"/>
    <w:basedOn w:val="1"/>
    <w:link w:val="102"/>
    <w:qFormat/>
    <w:uiPriority w:val="0"/>
    <w:pPr>
      <w:snapToGrid w:val="0"/>
      <w:jc w:val="left"/>
    </w:pPr>
    <w:rPr>
      <w:rFonts w:ascii="Arial" w:hAnsi="Arial"/>
      <w:sz w:val="18"/>
      <w:szCs w:val="18"/>
    </w:rPr>
  </w:style>
  <w:style w:type="paragraph" w:styleId="38">
    <w:name w:val="toc 6"/>
    <w:basedOn w:val="1"/>
    <w:next w:val="1"/>
    <w:qFormat/>
    <w:uiPriority w:val="39"/>
    <w:pPr>
      <w:ind w:left="1050"/>
      <w:jc w:val="left"/>
    </w:pPr>
    <w:rPr>
      <w:sz w:val="18"/>
      <w:szCs w:val="18"/>
    </w:rPr>
  </w:style>
  <w:style w:type="paragraph" w:styleId="39">
    <w:name w:val="Body Text Indent 3"/>
    <w:basedOn w:val="1"/>
    <w:link w:val="86"/>
    <w:qFormat/>
    <w:uiPriority w:val="0"/>
    <w:pPr>
      <w:spacing w:beforeLines="100" w:afterLines="100" w:line="560" w:lineRule="exact"/>
      <w:ind w:firstLine="573"/>
    </w:pPr>
    <w:rPr>
      <w:rFonts w:ascii="宋体" w:hAnsi="宋体"/>
      <w:sz w:val="28"/>
    </w:rPr>
  </w:style>
  <w:style w:type="paragraph" w:styleId="40">
    <w:name w:val="index 7"/>
    <w:basedOn w:val="1"/>
    <w:next w:val="1"/>
    <w:qFormat/>
    <w:uiPriority w:val="0"/>
    <w:pPr>
      <w:ind w:left="1200" w:leftChars="1200"/>
    </w:pPr>
  </w:style>
  <w:style w:type="paragraph" w:styleId="41">
    <w:name w:val="index 9"/>
    <w:basedOn w:val="1"/>
    <w:next w:val="1"/>
    <w:qFormat/>
    <w:uiPriority w:val="0"/>
    <w:pPr>
      <w:ind w:left="1600" w:leftChars="1600"/>
    </w:pPr>
  </w:style>
  <w:style w:type="paragraph" w:styleId="42">
    <w:name w:val="toc 2"/>
    <w:basedOn w:val="1"/>
    <w:next w:val="1"/>
    <w:qFormat/>
    <w:uiPriority w:val="39"/>
    <w:pPr>
      <w:tabs>
        <w:tab w:val="right" w:leader="dot" w:pos="8296"/>
      </w:tabs>
      <w:spacing w:before="156"/>
      <w:jc w:val="left"/>
    </w:pPr>
    <w:rPr>
      <w:b/>
      <w:smallCaps/>
      <w:color w:val="000000" w:themeColor="text1"/>
      <w14:textFill>
        <w14:solidFill>
          <w14:schemeClr w14:val="tx1"/>
        </w14:solidFill>
      </w14:textFill>
    </w:rPr>
  </w:style>
  <w:style w:type="paragraph" w:styleId="43">
    <w:name w:val="toc 9"/>
    <w:basedOn w:val="1"/>
    <w:next w:val="1"/>
    <w:unhideWhenUsed/>
    <w:qFormat/>
    <w:uiPriority w:val="39"/>
    <w:pPr>
      <w:ind w:left="1680"/>
      <w:jc w:val="left"/>
    </w:pPr>
    <w:rPr>
      <w:sz w:val="18"/>
      <w:szCs w:val="18"/>
    </w:rPr>
  </w:style>
  <w:style w:type="paragraph" w:styleId="44">
    <w:name w:val="Body Text 2"/>
    <w:basedOn w:val="1"/>
    <w:link w:val="100"/>
    <w:qFormat/>
    <w:uiPriority w:val="0"/>
    <w:pPr>
      <w:jc w:val="left"/>
    </w:pPr>
    <w:rPr>
      <w:color w:val="008000"/>
      <w:sz w:val="28"/>
    </w:rPr>
  </w:style>
  <w:style w:type="paragraph" w:styleId="45">
    <w:name w:val="Normal (Web)"/>
    <w:basedOn w:val="1"/>
    <w:qFormat/>
    <w:uiPriority w:val="99"/>
    <w:pPr>
      <w:widowControl/>
      <w:spacing w:before="100" w:beforeAutospacing="1" w:after="100" w:afterAutospacing="1"/>
      <w:jc w:val="left"/>
    </w:pPr>
    <w:rPr>
      <w:rFonts w:ascii="宋体" w:hAnsi="宋体" w:cs="宋体"/>
      <w:color w:val="000000"/>
      <w:kern w:val="0"/>
    </w:rPr>
  </w:style>
  <w:style w:type="paragraph" w:styleId="46">
    <w:name w:val="index 2"/>
    <w:basedOn w:val="1"/>
    <w:next w:val="1"/>
    <w:semiHidden/>
    <w:qFormat/>
    <w:uiPriority w:val="0"/>
    <w:pPr>
      <w:ind w:left="200" w:leftChars="200"/>
    </w:pPr>
  </w:style>
  <w:style w:type="paragraph" w:styleId="47">
    <w:name w:val="Title"/>
    <w:basedOn w:val="1"/>
    <w:link w:val="87"/>
    <w:qFormat/>
    <w:uiPriority w:val="0"/>
    <w:pPr>
      <w:spacing w:before="320" w:after="280"/>
      <w:jc w:val="center"/>
      <w:outlineLvl w:val="0"/>
    </w:pPr>
    <w:rPr>
      <w:rFonts w:ascii="Arial" w:hAnsi="Arial" w:eastAsia="黑体"/>
      <w:bCs/>
      <w:sz w:val="36"/>
      <w:szCs w:val="32"/>
    </w:rPr>
  </w:style>
  <w:style w:type="character" w:styleId="49">
    <w:name w:val="Strong"/>
    <w:qFormat/>
    <w:uiPriority w:val="0"/>
    <w:rPr>
      <w:b/>
      <w:bCs/>
    </w:rPr>
  </w:style>
  <w:style w:type="character" w:styleId="50">
    <w:name w:val="page number"/>
    <w:basedOn w:val="48"/>
    <w:qFormat/>
    <w:uiPriority w:val="0"/>
  </w:style>
  <w:style w:type="character" w:styleId="51">
    <w:name w:val="FollowedHyperlink"/>
    <w:qFormat/>
    <w:uiPriority w:val="0"/>
    <w:rPr>
      <w:color w:val="800080"/>
      <w:u w:val="single"/>
    </w:rPr>
  </w:style>
  <w:style w:type="character" w:styleId="52">
    <w:name w:val="Hyperlink"/>
    <w:qFormat/>
    <w:uiPriority w:val="99"/>
    <w:rPr>
      <w:color w:val="0000FF"/>
      <w:u w:val="single"/>
    </w:rPr>
  </w:style>
  <w:style w:type="character" w:styleId="53">
    <w:name w:val="annotation reference"/>
    <w:qFormat/>
    <w:uiPriority w:val="0"/>
    <w:rPr>
      <w:sz w:val="21"/>
      <w:szCs w:val="21"/>
    </w:rPr>
  </w:style>
  <w:style w:type="character" w:styleId="54">
    <w:name w:val="footnote reference"/>
    <w:qFormat/>
    <w:uiPriority w:val="0"/>
    <w:rPr>
      <w:vertAlign w:val="superscript"/>
    </w:rPr>
  </w:style>
  <w:style w:type="table" w:styleId="56">
    <w:name w:val="Table Grid"/>
    <w:basedOn w:val="55"/>
    <w:qFormat/>
    <w:uiPriority w:val="59"/>
    <w:pPr>
      <w:widowControl w:val="0"/>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57">
    <w:name w:val="Table Theme"/>
    <w:basedOn w:val="5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58">
    <w:name w:val="Table Simple 1"/>
    <w:basedOn w:val="55"/>
    <w:qFormat/>
    <w:uiPriority w:val="0"/>
    <w:pPr>
      <w:widowControl w:val="0"/>
      <w:jc w:val="both"/>
    </w:pPr>
    <w:tblPr>
      <w:tblBorders>
        <w:top w:val="single" w:color="008000" w:sz="12" w:space="0"/>
        <w:bottom w:val="single" w:color="008000" w:sz="12" w:space="0"/>
      </w:tblBorders>
      <w:tblLayout w:type="fixed"/>
    </w:tblPr>
    <w:tcPr>
      <w:shd w:val="clear" w:color="auto" w:fill="auto"/>
    </w:tcPr>
    <w:tblStylePr w:type="firstRow">
      <w:tblPr>
        <w:tblLayout w:type="fixed"/>
      </w:tblPr>
      <w:tcPr>
        <w:tcBorders>
          <w:bottom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table" w:styleId="59">
    <w:name w:val="Table Grid 1"/>
    <w:basedOn w:val="55"/>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lastRow">
      <w:rPr>
        <w:i/>
        <w:iCs/>
      </w:rPr>
      <w:tblPr>
        <w:tblLayout w:type="fixed"/>
      </w:tblPr>
      <w:tcPr>
        <w:tcBorders>
          <w:tl2br w:val="nil"/>
          <w:tr2bl w:val="nil"/>
        </w:tcBorders>
      </w:tcPr>
    </w:tblStylePr>
    <w:tblStylePr w:type="lastCol">
      <w:rPr>
        <w:i/>
        <w:i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60">
    <w:name w:val="Table Grid 5"/>
    <w:basedOn w:val="5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character" w:customStyle="1" w:styleId="61">
    <w:name w:val="标题 1 Char"/>
    <w:link w:val="2"/>
    <w:qFormat/>
    <w:uiPriority w:val="0"/>
    <w:rPr>
      <w:rFonts w:ascii="华文新魏" w:eastAsia="黑体"/>
      <w:b/>
      <w:bCs/>
      <w:kern w:val="44"/>
      <w:sz w:val="36"/>
      <w:szCs w:val="44"/>
    </w:rPr>
  </w:style>
  <w:style w:type="paragraph" w:customStyle="1" w:styleId="62">
    <w:name w:val="Char"/>
    <w:basedOn w:val="1"/>
    <w:qFormat/>
    <w:uiPriority w:val="0"/>
    <w:rPr>
      <w:rFonts w:ascii="宋体" w:hAnsi="宋体" w:cs="Courier New"/>
      <w:sz w:val="32"/>
      <w:szCs w:val="32"/>
    </w:rPr>
  </w:style>
  <w:style w:type="character" w:customStyle="1" w:styleId="63">
    <w:name w:val="标题 2 Char"/>
    <w:link w:val="3"/>
    <w:qFormat/>
    <w:uiPriority w:val="0"/>
    <w:rPr>
      <w:rFonts w:ascii="黑体" w:hAnsi="黑体" w:eastAsia="黑体"/>
      <w:b/>
      <w:bCs/>
      <w:kern w:val="2"/>
      <w:sz w:val="30"/>
      <w:szCs w:val="24"/>
    </w:rPr>
  </w:style>
  <w:style w:type="character" w:customStyle="1" w:styleId="64">
    <w:name w:val="标题 3 Char"/>
    <w:link w:val="4"/>
    <w:qFormat/>
    <w:uiPriority w:val="0"/>
    <w:rPr>
      <w:b/>
      <w:bCs/>
      <w:kern w:val="2"/>
      <w:sz w:val="28"/>
      <w:szCs w:val="28"/>
    </w:rPr>
  </w:style>
  <w:style w:type="paragraph" w:customStyle="1" w:styleId="65">
    <w:name w:val="条文"/>
    <w:basedOn w:val="1"/>
    <w:qFormat/>
    <w:uiPriority w:val="0"/>
    <w:pPr>
      <w:ind w:firstLine="448" w:firstLineChars="190"/>
    </w:pPr>
    <w:rPr>
      <w:rFonts w:ascii="宋体" w:hAnsi="宋体"/>
      <w:bCs/>
      <w:spacing w:val="-2"/>
    </w:rPr>
  </w:style>
  <w:style w:type="paragraph" w:customStyle="1" w:styleId="66">
    <w:name w:val="条文标题"/>
    <w:basedOn w:val="1"/>
    <w:qFormat/>
    <w:uiPriority w:val="0"/>
    <w:pPr>
      <w:spacing w:before="400" w:afterLines="100" w:line="360" w:lineRule="auto"/>
      <w:ind w:left="540"/>
      <w:outlineLvl w:val="0"/>
    </w:pPr>
    <w:rPr>
      <w:rFonts w:hAnsi="Plotter" w:eastAsia="黑体"/>
      <w:bCs/>
      <w:szCs w:val="20"/>
    </w:rPr>
  </w:style>
  <w:style w:type="paragraph" w:customStyle="1" w:styleId="67">
    <w:name w:val="列出段落1"/>
    <w:basedOn w:val="1"/>
    <w:link w:val="128"/>
    <w:qFormat/>
    <w:uiPriority w:val="34"/>
    <w:pPr>
      <w:ind w:firstLine="420" w:firstLineChars="200"/>
    </w:pPr>
  </w:style>
  <w:style w:type="paragraph" w:customStyle="1" w:styleId="68">
    <w:name w:val="Char2"/>
    <w:basedOn w:val="1"/>
    <w:qFormat/>
    <w:uiPriority w:val="0"/>
    <w:rPr>
      <w:rFonts w:ascii="宋体" w:hAnsi="宋体" w:cs="Courier New"/>
      <w:sz w:val="32"/>
      <w:szCs w:val="32"/>
    </w:rPr>
  </w:style>
  <w:style w:type="character" w:customStyle="1" w:styleId="69">
    <w:name w:val="Char Char2"/>
    <w:qFormat/>
    <w:uiPriority w:val="0"/>
    <w:rPr>
      <w:rFonts w:ascii="华文新魏" w:eastAsia="华文新魏"/>
      <w:bCs/>
      <w:kern w:val="44"/>
      <w:sz w:val="28"/>
      <w:szCs w:val="44"/>
    </w:rPr>
  </w:style>
  <w:style w:type="character" w:customStyle="1" w:styleId="70">
    <w:name w:val="页脚 Char"/>
    <w:link w:val="31"/>
    <w:qFormat/>
    <w:uiPriority w:val="99"/>
    <w:rPr>
      <w:sz w:val="18"/>
      <w:szCs w:val="18"/>
    </w:rPr>
  </w:style>
  <w:style w:type="character" w:customStyle="1" w:styleId="71">
    <w:name w:val="标题 4 Char"/>
    <w:link w:val="5"/>
    <w:qFormat/>
    <w:uiPriority w:val="0"/>
    <w:rPr>
      <w:rFonts w:ascii="Cambria" w:hAnsi="Cambria"/>
      <w:b/>
      <w:bCs/>
      <w:kern w:val="2"/>
      <w:sz w:val="28"/>
      <w:szCs w:val="28"/>
    </w:rPr>
  </w:style>
  <w:style w:type="paragraph" w:customStyle="1" w:styleId="72">
    <w:name w:val="样式 样式 样式 首行缩进:  2 字符 + 左侧:  4 字符 首行缩进:  2 字符 + 左侧:  4 字符"/>
    <w:basedOn w:val="1"/>
    <w:qFormat/>
    <w:uiPriority w:val="0"/>
    <w:pPr>
      <w:spacing w:line="400" w:lineRule="exact"/>
      <w:ind w:left="300" w:leftChars="300"/>
    </w:pPr>
    <w:rPr>
      <w:rFonts w:cs="宋体"/>
      <w:szCs w:val="20"/>
    </w:rPr>
  </w:style>
  <w:style w:type="character" w:customStyle="1" w:styleId="73">
    <w:name w:val="正文文本缩进 Char"/>
    <w:link w:val="21"/>
    <w:qFormat/>
    <w:uiPriority w:val="0"/>
    <w:rPr>
      <w:sz w:val="21"/>
      <w:szCs w:val="24"/>
    </w:rPr>
  </w:style>
  <w:style w:type="character" w:customStyle="1" w:styleId="74">
    <w:name w:val="标题 6 Char"/>
    <w:link w:val="7"/>
    <w:qFormat/>
    <w:uiPriority w:val="0"/>
    <w:rPr>
      <w:rFonts w:ascii="Arial" w:hAnsi="Arial" w:eastAsia="黑体"/>
      <w:b/>
      <w:bCs/>
      <w:kern w:val="2"/>
      <w:sz w:val="24"/>
      <w:szCs w:val="24"/>
    </w:rPr>
  </w:style>
  <w:style w:type="character" w:customStyle="1" w:styleId="75">
    <w:name w:val="标题 7 Char"/>
    <w:link w:val="8"/>
    <w:qFormat/>
    <w:uiPriority w:val="0"/>
    <w:rPr>
      <w:b/>
      <w:bCs/>
      <w:kern w:val="2"/>
      <w:sz w:val="24"/>
      <w:szCs w:val="24"/>
    </w:rPr>
  </w:style>
  <w:style w:type="character" w:customStyle="1" w:styleId="76">
    <w:name w:val="标题 8 Char"/>
    <w:link w:val="9"/>
    <w:qFormat/>
    <w:uiPriority w:val="0"/>
    <w:rPr>
      <w:rFonts w:ascii="Arial" w:hAnsi="Arial" w:eastAsia="黑体"/>
      <w:kern w:val="2"/>
      <w:sz w:val="24"/>
      <w:szCs w:val="24"/>
    </w:rPr>
  </w:style>
  <w:style w:type="character" w:customStyle="1" w:styleId="77">
    <w:name w:val="标题 9 Char"/>
    <w:link w:val="10"/>
    <w:qFormat/>
    <w:uiPriority w:val="0"/>
    <w:rPr>
      <w:rFonts w:ascii="Arial" w:hAnsi="Arial" w:eastAsia="黑体"/>
      <w:kern w:val="2"/>
      <w:sz w:val="21"/>
      <w:szCs w:val="21"/>
    </w:rPr>
  </w:style>
  <w:style w:type="character" w:customStyle="1" w:styleId="78">
    <w:name w:val="题注 Char"/>
    <w:link w:val="16"/>
    <w:qFormat/>
    <w:uiPriority w:val="0"/>
    <w:rPr>
      <w:rFonts w:ascii="Cambria" w:hAnsi="Cambria" w:eastAsia="黑体"/>
    </w:rPr>
  </w:style>
  <w:style w:type="character" w:customStyle="1" w:styleId="79">
    <w:name w:val="页眉 Char"/>
    <w:link w:val="32"/>
    <w:qFormat/>
    <w:uiPriority w:val="99"/>
    <w:rPr>
      <w:sz w:val="18"/>
      <w:szCs w:val="18"/>
    </w:rPr>
  </w:style>
  <w:style w:type="paragraph" w:customStyle="1" w:styleId="80">
    <w:name w:val="TOC 标题1"/>
    <w:basedOn w:val="2"/>
    <w:next w:val="1"/>
    <w:qFormat/>
    <w:uiPriority w:val="39"/>
    <w:pPr>
      <w:widowControl/>
      <w:numPr>
        <w:numId w:val="0"/>
      </w:numPr>
      <w:spacing w:before="480" w:line="276" w:lineRule="auto"/>
      <w:outlineLvl w:val="9"/>
    </w:pPr>
    <w:rPr>
      <w:rFonts w:ascii="Cambria" w:hAnsi="Cambria" w:eastAsia="宋体"/>
      <w:color w:val="365F91"/>
      <w:kern w:val="0"/>
      <w:szCs w:val="28"/>
    </w:rPr>
  </w:style>
  <w:style w:type="character" w:customStyle="1" w:styleId="81">
    <w:name w:val="批注框文本 Char"/>
    <w:link w:val="30"/>
    <w:qFormat/>
    <w:uiPriority w:val="0"/>
    <w:rPr>
      <w:sz w:val="18"/>
      <w:szCs w:val="18"/>
    </w:rPr>
  </w:style>
  <w:style w:type="character" w:customStyle="1" w:styleId="82">
    <w:name w:val="标题 1 Char1"/>
    <w:qFormat/>
    <w:uiPriority w:val="0"/>
    <w:rPr>
      <w:rFonts w:eastAsia="宋体"/>
      <w:b/>
      <w:bCs/>
      <w:kern w:val="44"/>
      <w:sz w:val="44"/>
      <w:szCs w:val="44"/>
      <w:lang w:val="en-US" w:eastAsia="zh-CN" w:bidi="ar-SA"/>
    </w:rPr>
  </w:style>
  <w:style w:type="character" w:customStyle="1" w:styleId="83">
    <w:name w:val="标题 5 Char"/>
    <w:link w:val="6"/>
    <w:qFormat/>
    <w:uiPriority w:val="0"/>
    <w:rPr>
      <w:b/>
      <w:bCs/>
      <w:kern w:val="2"/>
      <w:sz w:val="28"/>
      <w:szCs w:val="28"/>
    </w:rPr>
  </w:style>
  <w:style w:type="character" w:customStyle="1" w:styleId="84">
    <w:name w:val="日期 Char"/>
    <w:link w:val="28"/>
    <w:qFormat/>
    <w:uiPriority w:val="0"/>
    <w:rPr>
      <w:b/>
      <w:bCs/>
      <w:kern w:val="2"/>
      <w:sz w:val="24"/>
      <w:szCs w:val="24"/>
    </w:rPr>
  </w:style>
  <w:style w:type="character" w:customStyle="1" w:styleId="85">
    <w:name w:val="正文文本缩进 2 Char"/>
    <w:link w:val="29"/>
    <w:qFormat/>
    <w:uiPriority w:val="0"/>
    <w:rPr>
      <w:rFonts w:ascii="宋体" w:hAnsi="宋体"/>
      <w:kern w:val="2"/>
      <w:sz w:val="28"/>
      <w:szCs w:val="24"/>
    </w:rPr>
  </w:style>
  <w:style w:type="character" w:customStyle="1" w:styleId="86">
    <w:name w:val="正文文本缩进 3 Char"/>
    <w:link w:val="39"/>
    <w:qFormat/>
    <w:uiPriority w:val="0"/>
    <w:rPr>
      <w:rFonts w:ascii="宋体" w:hAnsi="宋体"/>
      <w:kern w:val="2"/>
      <w:sz w:val="28"/>
      <w:szCs w:val="24"/>
    </w:rPr>
  </w:style>
  <w:style w:type="character" w:customStyle="1" w:styleId="87">
    <w:name w:val="标题 Char"/>
    <w:link w:val="47"/>
    <w:qFormat/>
    <w:uiPriority w:val="0"/>
    <w:rPr>
      <w:rFonts w:ascii="Arial" w:hAnsi="Arial" w:eastAsia="黑体" w:cs="Arial"/>
      <w:bCs/>
      <w:kern w:val="2"/>
      <w:sz w:val="36"/>
      <w:szCs w:val="32"/>
    </w:rPr>
  </w:style>
  <w:style w:type="character" w:customStyle="1" w:styleId="88">
    <w:name w:val="纯文本 Char"/>
    <w:link w:val="25"/>
    <w:qFormat/>
    <w:uiPriority w:val="0"/>
    <w:rPr>
      <w:rFonts w:ascii="宋体" w:hAnsi="Courier New"/>
      <w:kern w:val="2"/>
      <w:sz w:val="21"/>
      <w:szCs w:val="21"/>
    </w:rPr>
  </w:style>
  <w:style w:type="paragraph" w:customStyle="1" w:styleId="89">
    <w:name w:val="样式1"/>
    <w:basedOn w:val="47"/>
    <w:qFormat/>
    <w:uiPriority w:val="0"/>
    <w:pPr>
      <w:spacing w:before="240" w:after="60"/>
    </w:pPr>
    <w:rPr>
      <w:rFonts w:ascii="黑体" w:hAnsi="宋体"/>
    </w:rPr>
  </w:style>
  <w:style w:type="paragraph" w:customStyle="1" w:styleId="90">
    <w:name w:val="样式2"/>
    <w:basedOn w:val="1"/>
    <w:qFormat/>
    <w:uiPriority w:val="0"/>
    <w:pPr>
      <w:spacing w:beforeLines="1000" w:afterLines="600"/>
      <w:ind w:firstLine="200" w:firstLineChars="200"/>
    </w:pPr>
    <w:rPr>
      <w:rFonts w:ascii="黑体" w:hAnsi="宋体" w:eastAsia="黑体"/>
      <w:sz w:val="28"/>
    </w:rPr>
  </w:style>
  <w:style w:type="paragraph" w:customStyle="1" w:styleId="91">
    <w:name w:val="font0"/>
    <w:basedOn w:val="1"/>
    <w:qFormat/>
    <w:uiPriority w:val="0"/>
    <w:pPr>
      <w:widowControl/>
      <w:spacing w:before="100" w:beforeAutospacing="1" w:after="100" w:afterAutospacing="1"/>
      <w:jc w:val="left"/>
    </w:pPr>
    <w:rPr>
      <w:rFonts w:hint="eastAsia" w:ascii="宋体" w:hAnsi="宋体"/>
      <w:kern w:val="0"/>
    </w:rPr>
  </w:style>
  <w:style w:type="paragraph" w:customStyle="1" w:styleId="92">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93">
    <w:name w:val="font6"/>
    <w:basedOn w:val="1"/>
    <w:qFormat/>
    <w:uiPriority w:val="0"/>
    <w:pPr>
      <w:widowControl/>
      <w:spacing w:before="100" w:beforeAutospacing="1" w:after="100" w:afterAutospacing="1"/>
      <w:jc w:val="left"/>
    </w:pPr>
    <w:rPr>
      <w:kern w:val="0"/>
    </w:rPr>
  </w:style>
  <w:style w:type="paragraph" w:customStyle="1" w:styleId="94">
    <w:name w:val="xl24"/>
    <w:basedOn w:val="1"/>
    <w:qFormat/>
    <w:uiPriority w:val="0"/>
    <w:pPr>
      <w:widowControl/>
      <w:spacing w:before="100" w:beforeAutospacing="1" w:after="100" w:afterAutospacing="1"/>
      <w:jc w:val="center"/>
    </w:pPr>
    <w:rPr>
      <w:rFonts w:ascii="宋体" w:hAnsi="宋体"/>
      <w:kern w:val="0"/>
    </w:rPr>
  </w:style>
  <w:style w:type="paragraph" w:customStyle="1" w:styleId="95">
    <w:name w:val="xl25"/>
    <w:basedOn w:val="1"/>
    <w:qFormat/>
    <w:uiPriority w:val="0"/>
    <w:pPr>
      <w:widowControl/>
      <w:spacing w:before="100" w:beforeAutospacing="1" w:after="100" w:afterAutospacing="1"/>
      <w:jc w:val="center"/>
    </w:pPr>
    <w:rPr>
      <w:rFonts w:ascii="宋体" w:hAnsi="宋体"/>
      <w:kern w:val="0"/>
    </w:rPr>
  </w:style>
  <w:style w:type="paragraph" w:customStyle="1" w:styleId="96">
    <w:name w:val="xl26"/>
    <w:basedOn w:val="1"/>
    <w:qFormat/>
    <w:uiPriority w:val="0"/>
    <w:pPr>
      <w:widowControl/>
      <w:spacing w:before="100" w:beforeAutospacing="1" w:after="100" w:afterAutospacing="1"/>
      <w:jc w:val="center"/>
    </w:pPr>
    <w:rPr>
      <w:rFonts w:ascii="宋体" w:hAnsi="宋体"/>
      <w:color w:val="000000"/>
      <w:kern w:val="0"/>
    </w:rPr>
  </w:style>
  <w:style w:type="paragraph" w:customStyle="1" w:styleId="97">
    <w:name w:val="xl27"/>
    <w:basedOn w:val="1"/>
    <w:qFormat/>
    <w:uiPriority w:val="0"/>
    <w:pPr>
      <w:widowControl/>
      <w:spacing w:before="100" w:beforeAutospacing="1" w:after="100" w:afterAutospacing="1"/>
      <w:jc w:val="center"/>
    </w:pPr>
    <w:rPr>
      <w:kern w:val="0"/>
    </w:rPr>
  </w:style>
  <w:style w:type="paragraph" w:customStyle="1" w:styleId="98">
    <w:name w:val="xl28"/>
    <w:basedOn w:val="1"/>
    <w:qFormat/>
    <w:uiPriority w:val="0"/>
    <w:pPr>
      <w:widowControl/>
      <w:spacing w:before="100" w:beforeAutospacing="1" w:after="100" w:afterAutospacing="1"/>
      <w:jc w:val="center"/>
    </w:pPr>
    <w:rPr>
      <w:kern w:val="0"/>
    </w:rPr>
  </w:style>
  <w:style w:type="paragraph" w:customStyle="1" w:styleId="99">
    <w:name w:val="样式 标题 2 + 首行缩进:  1.13 厘米"/>
    <w:basedOn w:val="3"/>
    <w:qFormat/>
    <w:uiPriority w:val="0"/>
    <w:pPr>
      <w:spacing w:line="415" w:lineRule="auto"/>
      <w:jc w:val="left"/>
    </w:pPr>
    <w:rPr>
      <w:szCs w:val="20"/>
    </w:rPr>
  </w:style>
  <w:style w:type="character" w:customStyle="1" w:styleId="100">
    <w:name w:val="正文文本 2 Char"/>
    <w:link w:val="44"/>
    <w:qFormat/>
    <w:uiPriority w:val="0"/>
    <w:rPr>
      <w:color w:val="008000"/>
      <w:kern w:val="2"/>
      <w:sz w:val="28"/>
      <w:szCs w:val="24"/>
    </w:rPr>
  </w:style>
  <w:style w:type="character" w:customStyle="1" w:styleId="101">
    <w:name w:val="批注文字 Char"/>
    <w:link w:val="12"/>
    <w:qFormat/>
    <w:uiPriority w:val="0"/>
    <w:rPr>
      <w:rFonts w:ascii="Arial" w:hAnsi="Arial"/>
      <w:kern w:val="2"/>
      <w:sz w:val="24"/>
      <w:szCs w:val="24"/>
    </w:rPr>
  </w:style>
  <w:style w:type="character" w:customStyle="1" w:styleId="102">
    <w:name w:val="脚注文本 Char"/>
    <w:link w:val="37"/>
    <w:qFormat/>
    <w:uiPriority w:val="0"/>
    <w:rPr>
      <w:rFonts w:ascii="Arial" w:hAnsi="Arial"/>
      <w:kern w:val="2"/>
      <w:sz w:val="18"/>
      <w:szCs w:val="18"/>
    </w:rPr>
  </w:style>
  <w:style w:type="paragraph" w:customStyle="1" w:styleId="103">
    <w:name w:val="表格文字 Char"/>
    <w:basedOn w:val="1"/>
    <w:qFormat/>
    <w:uiPriority w:val="0"/>
    <w:pPr>
      <w:spacing w:line="360" w:lineRule="auto"/>
    </w:pPr>
    <w:rPr>
      <w:rFonts w:ascii="宋体" w:hAnsi="宋体"/>
      <w:sz w:val="18"/>
      <w:szCs w:val="18"/>
    </w:rPr>
  </w:style>
  <w:style w:type="paragraph" w:customStyle="1" w:styleId="104">
    <w:name w:val="Char Char Char Char"/>
    <w:basedOn w:val="1"/>
    <w:qFormat/>
    <w:uiPriority w:val="0"/>
    <w:rPr>
      <w:rFonts w:ascii="宋体" w:hAnsi="宋体" w:cs="Courier New"/>
      <w:sz w:val="32"/>
      <w:szCs w:val="32"/>
    </w:rPr>
  </w:style>
  <w:style w:type="character" w:customStyle="1" w:styleId="105">
    <w:name w:val="Char Char4"/>
    <w:qFormat/>
    <w:uiPriority w:val="0"/>
    <w:rPr>
      <w:rFonts w:ascii="Times New Roman" w:hAnsi="Times New Roman" w:eastAsia="宋体" w:cs="Times New Roman"/>
      <w:b/>
      <w:bCs/>
      <w:kern w:val="44"/>
      <w:sz w:val="44"/>
      <w:szCs w:val="44"/>
    </w:rPr>
  </w:style>
  <w:style w:type="paragraph" w:customStyle="1" w:styleId="106">
    <w:name w:val="1"/>
    <w:basedOn w:val="1"/>
    <w:next w:val="20"/>
    <w:qFormat/>
    <w:uiPriority w:val="0"/>
    <w:pPr>
      <w:jc w:val="center"/>
    </w:pPr>
    <w:rPr>
      <w:rFonts w:eastAsia="黑体"/>
      <w:sz w:val="44"/>
      <w:szCs w:val="20"/>
    </w:rPr>
  </w:style>
  <w:style w:type="character" w:customStyle="1" w:styleId="107">
    <w:name w:val="Char Char1"/>
    <w:qFormat/>
    <w:uiPriority w:val="0"/>
    <w:rPr>
      <w:rFonts w:eastAsia="宋体"/>
      <w:b/>
      <w:bCs/>
      <w:kern w:val="44"/>
      <w:sz w:val="44"/>
      <w:szCs w:val="44"/>
      <w:lang w:val="en-US" w:eastAsia="zh-CN" w:bidi="ar-SA"/>
    </w:rPr>
  </w:style>
  <w:style w:type="paragraph" w:customStyle="1" w:styleId="108">
    <w:name w:val="样式 标题 1 + 段前: 0.5 行 段后: 0.5 行"/>
    <w:basedOn w:val="2"/>
    <w:qFormat/>
    <w:uiPriority w:val="0"/>
    <w:pPr>
      <w:numPr>
        <w:numId w:val="0"/>
      </w:numPr>
      <w:snapToGrid w:val="0"/>
      <w:spacing w:beforeLines="100" w:afterLines="50" w:line="324" w:lineRule="auto"/>
    </w:pPr>
    <w:rPr>
      <w:rFonts w:ascii="Times New Roman" w:eastAsia="宋体" w:cs="宋体"/>
      <w:b w:val="0"/>
      <w:sz w:val="30"/>
      <w:szCs w:val="30"/>
    </w:rPr>
  </w:style>
  <w:style w:type="character" w:customStyle="1" w:styleId="109">
    <w:name w:val="f18bt"/>
    <w:basedOn w:val="48"/>
    <w:qFormat/>
    <w:uiPriority w:val="0"/>
  </w:style>
  <w:style w:type="paragraph" w:customStyle="1" w:styleId="110">
    <w:name w:val="标题4"/>
    <w:basedOn w:val="4"/>
    <w:link w:val="111"/>
    <w:qFormat/>
    <w:uiPriority w:val="0"/>
    <w:pPr>
      <w:numPr>
        <w:ilvl w:val="0"/>
        <w:numId w:val="0"/>
      </w:numPr>
      <w:spacing w:before="120" w:after="120" w:line="360" w:lineRule="auto"/>
      <w:jc w:val="left"/>
    </w:pPr>
    <w:rPr>
      <w:rFonts w:ascii="黑体" w:hAnsi="宋体" w:eastAsia="黑体"/>
      <w:b w:val="0"/>
      <w:bCs w:val="0"/>
      <w:szCs w:val="32"/>
    </w:rPr>
  </w:style>
  <w:style w:type="character" w:customStyle="1" w:styleId="111">
    <w:name w:val="标题4 Char"/>
    <w:link w:val="110"/>
    <w:qFormat/>
    <w:uiPriority w:val="0"/>
    <w:rPr>
      <w:rFonts w:ascii="黑体" w:hAnsi="宋体" w:eastAsia="黑体"/>
      <w:kern w:val="2"/>
      <w:sz w:val="28"/>
      <w:szCs w:val="32"/>
    </w:rPr>
  </w:style>
  <w:style w:type="paragraph" w:customStyle="1" w:styleId="112">
    <w:name w:val="无间隔1"/>
    <w:qFormat/>
    <w:uiPriority w:val="1"/>
    <w:pPr>
      <w:widowControl w:val="0"/>
      <w:spacing w:beforeLines="50" w:after="160" w:line="300" w:lineRule="auto"/>
      <w:ind w:left="500" w:leftChars="500"/>
      <w:jc w:val="both"/>
    </w:pPr>
    <w:rPr>
      <w:rFonts w:ascii="Times New Roman" w:hAnsi="Times New Roman" w:eastAsia="宋体" w:cs="Times New Roman"/>
      <w:kern w:val="2"/>
      <w:sz w:val="21"/>
      <w:szCs w:val="24"/>
      <w:lang w:val="en-US" w:eastAsia="zh-CN" w:bidi="ar-SA"/>
    </w:rPr>
  </w:style>
  <w:style w:type="paragraph" w:customStyle="1" w:styleId="113">
    <w:name w:val="01-23小四"/>
    <w:basedOn w:val="1"/>
    <w:qFormat/>
    <w:uiPriority w:val="0"/>
    <w:pPr>
      <w:spacing w:line="450" w:lineRule="exact"/>
      <w:ind w:firstLine="480" w:firstLineChars="200"/>
    </w:pPr>
    <w:rPr>
      <w:rFonts w:cs="宋体"/>
      <w:szCs w:val="20"/>
    </w:rPr>
  </w:style>
  <w:style w:type="paragraph" w:customStyle="1" w:styleId="114">
    <w:name w:val="样式 样式 标题 4款标题款标题 Char Char Char Char Char Char Char Char + 段前: 0..."/>
    <w:basedOn w:val="1"/>
    <w:qFormat/>
    <w:uiPriority w:val="0"/>
    <w:pPr>
      <w:keepNext/>
      <w:tabs>
        <w:tab w:val="left" w:pos="2880"/>
      </w:tabs>
      <w:suppressAutoHyphens/>
      <w:ind w:left="2880" w:hanging="360"/>
      <w:jc w:val="left"/>
      <w:outlineLvl w:val="3"/>
    </w:pPr>
    <w:rPr>
      <w:rFonts w:ascii="宋体" w:hAnsi="黑体" w:eastAsia="黑体" w:cs="宋体"/>
      <w:kern w:val="0"/>
      <w:sz w:val="28"/>
      <w:szCs w:val="20"/>
      <w:lang w:val="en-GB"/>
    </w:rPr>
  </w:style>
  <w:style w:type="paragraph" w:customStyle="1" w:styleId="115">
    <w:name w:val="正文-第几条"/>
    <w:basedOn w:val="1"/>
    <w:qFormat/>
    <w:uiPriority w:val="0"/>
    <w:pPr>
      <w:spacing w:line="360" w:lineRule="auto"/>
    </w:pPr>
    <w:rPr>
      <w:b/>
    </w:rPr>
  </w:style>
  <w:style w:type="paragraph" w:customStyle="1" w:styleId="116">
    <w:name w:val="p0"/>
    <w:basedOn w:val="1"/>
    <w:qFormat/>
    <w:uiPriority w:val="0"/>
    <w:pPr>
      <w:widowControl/>
    </w:pPr>
    <w:rPr>
      <w:kern w:val="0"/>
      <w:szCs w:val="20"/>
    </w:rPr>
  </w:style>
  <w:style w:type="character" w:customStyle="1" w:styleId="117">
    <w:name w:val="批注主题 Char"/>
    <w:link w:val="11"/>
    <w:qFormat/>
    <w:uiPriority w:val="0"/>
    <w:rPr>
      <w:rFonts w:ascii="Arial" w:hAnsi="Arial"/>
      <w:b/>
      <w:bCs/>
      <w:kern w:val="2"/>
      <w:sz w:val="21"/>
      <w:szCs w:val="24"/>
    </w:rPr>
  </w:style>
  <w:style w:type="paragraph" w:customStyle="1" w:styleId="118">
    <w:name w:val="Char1"/>
    <w:basedOn w:val="1"/>
    <w:next w:val="1"/>
    <w:qFormat/>
    <w:uiPriority w:val="0"/>
    <w:pPr>
      <w:spacing w:line="360" w:lineRule="auto"/>
      <w:ind w:firstLine="200" w:firstLineChars="200"/>
    </w:pPr>
    <w:rPr>
      <w:szCs w:val="20"/>
    </w:rPr>
  </w:style>
  <w:style w:type="paragraph" w:customStyle="1" w:styleId="119">
    <w:name w:val="样式 行距: 单倍行距 首行缩进:  0 字符"/>
    <w:basedOn w:val="1"/>
    <w:qFormat/>
    <w:uiPriority w:val="0"/>
    <w:rPr>
      <w:rFonts w:ascii="Calibri" w:hAnsi="Calibri" w:cs="宋体"/>
      <w:szCs w:val="20"/>
    </w:rPr>
  </w:style>
  <w:style w:type="paragraph" w:customStyle="1" w:styleId="120">
    <w:name w:val="Char Char Char Char Char Char Char"/>
    <w:basedOn w:val="1"/>
    <w:qFormat/>
    <w:uiPriority w:val="0"/>
    <w:pPr>
      <w:spacing w:line="360" w:lineRule="auto"/>
      <w:ind w:firstLine="200" w:firstLineChars="200"/>
    </w:pPr>
    <w:rPr>
      <w:rFonts w:ascii="宋体" w:hAnsi="宋体" w:cs="宋体"/>
    </w:rPr>
  </w:style>
  <w:style w:type="character" w:customStyle="1" w:styleId="121">
    <w:name w:val="头 Char Char"/>
    <w:qFormat/>
    <w:uiPriority w:val="0"/>
    <w:rPr>
      <w:rFonts w:eastAsia="宋体"/>
      <w:b/>
      <w:bCs/>
      <w:kern w:val="2"/>
      <w:sz w:val="32"/>
      <w:szCs w:val="32"/>
      <w:lang w:val="en-US" w:eastAsia="zh-CN" w:bidi="ar-SA"/>
    </w:rPr>
  </w:style>
  <w:style w:type="table" w:customStyle="1" w:styleId="122">
    <w:name w:val="普通表格1"/>
    <w:semiHidden/>
    <w:qFormat/>
    <w:uiPriority w:val="0"/>
    <w:pPr>
      <w:spacing w:beforeLines="50" w:after="160" w:line="300" w:lineRule="auto"/>
      <w:ind w:left="500" w:leftChars="500"/>
    </w:pPr>
    <w:rPr>
      <w:rFonts w:eastAsia="Times New Roman"/>
    </w:rPr>
    <w:tblPr>
      <w:tblLayout w:type="fixed"/>
      <w:tblCellMar>
        <w:top w:w="0" w:type="dxa"/>
        <w:left w:w="108" w:type="dxa"/>
        <w:bottom w:w="0" w:type="dxa"/>
        <w:right w:w="108" w:type="dxa"/>
      </w:tblCellMar>
    </w:tblPr>
  </w:style>
  <w:style w:type="character" w:customStyle="1" w:styleId="123">
    <w:name w:val="apple-style-span"/>
    <w:basedOn w:val="48"/>
    <w:qFormat/>
    <w:uiPriority w:val="0"/>
  </w:style>
  <w:style w:type="paragraph" w:customStyle="1" w:styleId="124">
    <w:name w:val="样式 样式 项目正文 + 首行缩进:  2 字符 + 首行缩进:  2 字符"/>
    <w:basedOn w:val="1"/>
    <w:qFormat/>
    <w:uiPriority w:val="0"/>
    <w:pPr>
      <w:spacing w:line="360" w:lineRule="auto"/>
      <w:ind w:firstLine="200" w:firstLineChars="200"/>
    </w:pPr>
    <w:rPr>
      <w:rFonts w:cs="宋体"/>
      <w:szCs w:val="20"/>
    </w:rPr>
  </w:style>
  <w:style w:type="character" w:customStyle="1" w:styleId="125">
    <w:name w:val="正文文本 Char"/>
    <w:basedOn w:val="48"/>
    <w:link w:val="20"/>
    <w:qFormat/>
    <w:uiPriority w:val="0"/>
    <w:rPr>
      <w:rFonts w:ascii="宋体" w:hAnsi="宋体"/>
      <w:kern w:val="2"/>
      <w:sz w:val="24"/>
      <w:szCs w:val="24"/>
    </w:rPr>
  </w:style>
  <w:style w:type="paragraph" w:customStyle="1" w:styleId="126">
    <w:name w:val="附表名"/>
    <w:basedOn w:val="1"/>
    <w:link w:val="127"/>
    <w:qFormat/>
    <w:uiPriority w:val="0"/>
    <w:pPr>
      <w:spacing w:afterLines="50"/>
      <w:ind w:left="0" w:leftChars="0"/>
      <w:jc w:val="left"/>
    </w:pPr>
    <w:rPr>
      <w:rFonts w:asciiTheme="minorEastAsia" w:hAnsiTheme="minorEastAsia" w:eastAsiaTheme="minorEastAsia"/>
      <w:b/>
      <w:kern w:val="0"/>
    </w:rPr>
  </w:style>
  <w:style w:type="character" w:customStyle="1" w:styleId="127">
    <w:name w:val="附表名 Char"/>
    <w:link w:val="126"/>
    <w:qFormat/>
    <w:uiPriority w:val="0"/>
    <w:rPr>
      <w:rFonts w:asciiTheme="minorEastAsia" w:hAnsiTheme="minorEastAsia" w:eastAsiaTheme="minorEastAsia"/>
      <w:b/>
      <w:sz w:val="24"/>
      <w:szCs w:val="24"/>
    </w:rPr>
  </w:style>
  <w:style w:type="character" w:customStyle="1" w:styleId="128">
    <w:name w:val="列出段落 Char"/>
    <w:basedOn w:val="48"/>
    <w:link w:val="67"/>
    <w:qFormat/>
    <w:uiPriority w:val="34"/>
    <w:rPr>
      <w:kern w:val="2"/>
      <w:sz w:val="21"/>
      <w:szCs w:val="24"/>
    </w:rPr>
  </w:style>
  <w:style w:type="paragraph" w:customStyle="1" w:styleId="129">
    <w:name w:val="无间隔（居中）"/>
    <w:qFormat/>
    <w:uiPriority w:val="1"/>
    <w:pPr>
      <w:widowControl w:val="0"/>
      <w:spacing w:beforeLines="50" w:after="160" w:line="300" w:lineRule="auto"/>
      <w:ind w:left="500" w:leftChars="500"/>
      <w:jc w:val="center"/>
    </w:pPr>
    <w:rPr>
      <w:rFonts w:ascii="Times New Roman" w:hAnsi="Times New Roman" w:eastAsia="楷体" w:cs="Times New Roman"/>
      <w:kern w:val="2"/>
      <w:sz w:val="21"/>
      <w:szCs w:val="21"/>
      <w:lang w:val="en-US" w:eastAsia="zh-CN" w:bidi="ar-SA"/>
    </w:rPr>
  </w:style>
  <w:style w:type="paragraph" w:customStyle="1" w:styleId="130">
    <w:name w:val="表格-图名"/>
    <w:basedOn w:val="1"/>
    <w:qFormat/>
    <w:uiPriority w:val="0"/>
    <w:pPr>
      <w:spacing w:afterLines="50"/>
      <w:ind w:left="0" w:leftChars="0"/>
      <w:jc w:val="left"/>
    </w:pPr>
    <w:rPr>
      <w:rFonts w:asciiTheme="minorEastAsia" w:hAnsiTheme="minorEastAsia" w:eastAsiaTheme="minorEastAsia"/>
      <w:b/>
      <w:szCs w:val="21"/>
    </w:rPr>
  </w:style>
  <w:style w:type="paragraph" w:customStyle="1" w:styleId="131">
    <w:name w:val="正文文字"/>
    <w:basedOn w:val="1"/>
    <w:link w:val="132"/>
    <w:qFormat/>
    <w:uiPriority w:val="0"/>
    <w:pPr>
      <w:ind w:left="150" w:leftChars="150" w:hanging="600" w:hangingChars="250"/>
    </w:pPr>
    <w:rPr>
      <w:rFonts w:ascii="Calibri" w:hAnsi="Calibri"/>
      <w:szCs w:val="22"/>
    </w:rPr>
  </w:style>
  <w:style w:type="character" w:customStyle="1" w:styleId="132">
    <w:name w:val="正文文字 Char"/>
    <w:link w:val="131"/>
    <w:qFormat/>
    <w:uiPriority w:val="0"/>
    <w:rPr>
      <w:rFonts w:ascii="Calibri" w:hAnsi="Calibri"/>
      <w:kern w:val="2"/>
      <w:sz w:val="24"/>
      <w:szCs w:val="22"/>
    </w:rPr>
  </w:style>
  <w:style w:type="paragraph" w:customStyle="1" w:styleId="133">
    <w:name w:val="reader-word-layer"/>
    <w:basedOn w:val="1"/>
    <w:qFormat/>
    <w:uiPriority w:val="0"/>
    <w:pPr>
      <w:widowControl/>
      <w:spacing w:before="100" w:beforeAutospacing="1" w:after="100" w:afterAutospacing="1"/>
      <w:jc w:val="left"/>
    </w:pPr>
    <w:rPr>
      <w:rFonts w:ascii="宋体" w:hAnsi="宋体" w:cs="宋体"/>
      <w:kern w:val="0"/>
    </w:rPr>
  </w:style>
  <w:style w:type="paragraph" w:customStyle="1" w:styleId="134">
    <w:name w:val="表格"/>
    <w:basedOn w:val="1"/>
    <w:link w:val="135"/>
    <w:qFormat/>
    <w:uiPriority w:val="0"/>
    <w:pPr>
      <w:ind w:left="0" w:leftChars="0"/>
      <w:jc w:val="center"/>
    </w:pPr>
    <w:rPr>
      <w:rFonts w:ascii="黑体" w:hAnsi="宋体" w:eastAsia="黑体"/>
      <w:kern w:val="0"/>
      <w:sz w:val="21"/>
      <w:szCs w:val="21"/>
    </w:rPr>
  </w:style>
  <w:style w:type="character" w:customStyle="1" w:styleId="135">
    <w:name w:val="表格 Char"/>
    <w:link w:val="134"/>
    <w:qFormat/>
    <w:uiPriority w:val="0"/>
    <w:rPr>
      <w:rFonts w:ascii="黑体" w:hAnsi="宋体" w:eastAsia="黑体"/>
      <w:sz w:val="21"/>
      <w:szCs w:val="21"/>
    </w:rPr>
  </w:style>
  <w:style w:type="paragraph" w:customStyle="1" w:styleId="136">
    <w:name w:val="表名"/>
    <w:basedOn w:val="1"/>
    <w:qFormat/>
    <w:uiPriority w:val="0"/>
    <w:pPr>
      <w:ind w:left="0" w:leftChars="0"/>
      <w:jc w:val="center"/>
    </w:pPr>
    <w:rPr>
      <w:rFonts w:ascii="黑体" w:hAnsi="黑体" w:eastAsia="黑体"/>
      <w:sz w:val="21"/>
      <w:szCs w:val="21"/>
    </w:rPr>
  </w:style>
  <w:style w:type="paragraph" w:customStyle="1" w:styleId="137">
    <w:name w:val="无间隔11"/>
    <w:qFormat/>
    <w:uiPriority w:val="0"/>
    <w:pPr>
      <w:widowControl w:val="0"/>
      <w:jc w:val="center"/>
    </w:pPr>
    <w:rPr>
      <w:rFonts w:ascii="Times New Roman" w:hAnsi="Times New Roman" w:eastAsia="楷体" w:cs="Times New Roman"/>
      <w:kern w:val="2"/>
      <w:sz w:val="21"/>
      <w:szCs w:val="21"/>
      <w:lang w:val="en-US" w:eastAsia="zh-CN" w:bidi="ar-SA"/>
    </w:rPr>
  </w:style>
  <w:style w:type="table" w:customStyle="1" w:styleId="138">
    <w:name w:val="网格型2"/>
    <w:basedOn w:val="5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9">
    <w:name w:val="图"/>
    <w:basedOn w:val="1"/>
    <w:link w:val="140"/>
    <w:qFormat/>
    <w:uiPriority w:val="0"/>
    <w:pPr>
      <w:spacing w:beforeLines="0" w:line="240" w:lineRule="auto"/>
      <w:ind w:left="0" w:leftChars="0"/>
      <w:jc w:val="center"/>
    </w:pPr>
    <w:rPr>
      <w:rFonts w:ascii="黑体" w:hAnsi="宋体" w:eastAsia="黑体"/>
      <w:kern w:val="0"/>
      <w:sz w:val="21"/>
      <w:szCs w:val="21"/>
    </w:rPr>
  </w:style>
  <w:style w:type="character" w:customStyle="1" w:styleId="140">
    <w:name w:val="图 Char"/>
    <w:link w:val="139"/>
    <w:qFormat/>
    <w:uiPriority w:val="0"/>
    <w:rPr>
      <w:rFonts w:ascii="黑体" w:hAnsi="宋体" w:eastAsia="黑体"/>
      <w:sz w:val="21"/>
      <w:szCs w:val="21"/>
    </w:rPr>
  </w:style>
  <w:style w:type="paragraph" w:customStyle="1" w:styleId="141">
    <w:name w:val="样式 表格 + 加粗 黑色 居中"/>
    <w:basedOn w:val="1"/>
    <w:qFormat/>
    <w:uiPriority w:val="0"/>
    <w:pPr>
      <w:ind w:left="0" w:leftChars="0" w:firstLine="480" w:firstLineChars="200"/>
      <w:jc w:val="center"/>
    </w:pPr>
    <w:rPr>
      <w:rFonts w:ascii="宋体" w:hAnsi="宋体" w:cs="宋体" w:eastAsiaTheme="minorEastAsia"/>
      <w:b/>
      <w:bCs/>
      <w:color w:val="000000"/>
      <w:kern w:val="0"/>
      <w:sz w:val="18"/>
      <w:szCs w:val="20"/>
    </w:rPr>
  </w:style>
  <w:style w:type="paragraph" w:customStyle="1" w:styleId="142">
    <w:name w:val="H表格文字"/>
    <w:basedOn w:val="1"/>
    <w:link w:val="143"/>
    <w:qFormat/>
    <w:uiPriority w:val="0"/>
    <w:pPr>
      <w:suppressAutoHyphens/>
      <w:ind w:left="0" w:leftChars="0" w:firstLine="480" w:firstLineChars="200"/>
      <w:jc w:val="center"/>
    </w:pPr>
    <w:rPr>
      <w:rFonts w:ascii="宋体" w:hAnsiTheme="minorEastAsia" w:eastAsiaTheme="minorEastAsia"/>
      <w:color w:val="000000"/>
      <w:spacing w:val="5"/>
      <w:kern w:val="0"/>
      <w:szCs w:val="21"/>
    </w:rPr>
  </w:style>
  <w:style w:type="character" w:customStyle="1" w:styleId="143">
    <w:name w:val="H表格文字 Char"/>
    <w:link w:val="142"/>
    <w:qFormat/>
    <w:uiPriority w:val="0"/>
    <w:rPr>
      <w:rFonts w:ascii="宋体" w:hAnsiTheme="minorEastAsia" w:eastAsiaTheme="minorEastAsia"/>
      <w:color w:val="000000"/>
      <w:spacing w:val="5"/>
      <w:sz w:val="24"/>
      <w:szCs w:val="21"/>
    </w:rPr>
  </w:style>
  <w:style w:type="paragraph" w:customStyle="1" w:styleId="144">
    <w:name w:val="H表格题注"/>
    <w:basedOn w:val="1"/>
    <w:link w:val="145"/>
    <w:qFormat/>
    <w:uiPriority w:val="0"/>
    <w:pPr>
      <w:suppressAutoHyphens/>
      <w:spacing w:before="120"/>
      <w:ind w:left="0" w:leftChars="0" w:firstLine="480" w:firstLineChars="200"/>
      <w:jc w:val="center"/>
    </w:pPr>
    <w:rPr>
      <w:rFonts w:ascii="宋体" w:hAnsiTheme="minorEastAsia" w:eastAsiaTheme="minorEastAsia"/>
      <w:b/>
      <w:color w:val="000000"/>
      <w:spacing w:val="5"/>
      <w:kern w:val="0"/>
      <w:szCs w:val="21"/>
    </w:rPr>
  </w:style>
  <w:style w:type="character" w:customStyle="1" w:styleId="145">
    <w:name w:val="H表格题注 Char"/>
    <w:link w:val="144"/>
    <w:qFormat/>
    <w:uiPriority w:val="0"/>
    <w:rPr>
      <w:rFonts w:ascii="宋体" w:hAnsiTheme="minorEastAsia" w:eastAsiaTheme="minorEastAsia"/>
      <w:b/>
      <w:color w:val="000000"/>
      <w:spacing w:val="5"/>
      <w:sz w:val="24"/>
      <w:szCs w:val="21"/>
    </w:rPr>
  </w:style>
  <w:style w:type="paragraph" w:customStyle="1" w:styleId="146">
    <w:name w:val="Char Char Char Char Char Char Char1"/>
    <w:basedOn w:val="1"/>
    <w:qFormat/>
    <w:uiPriority w:val="0"/>
    <w:pPr>
      <w:spacing w:beforeLines="0" w:line="360" w:lineRule="auto"/>
      <w:ind w:left="0" w:leftChars="0" w:firstLine="200" w:firstLineChars="200"/>
    </w:pPr>
    <w:rPr>
      <w:rFonts w:ascii="宋体" w:hAnsi="宋体" w:cs="宋体"/>
    </w:rPr>
  </w:style>
  <w:style w:type="character" w:customStyle="1" w:styleId="147">
    <w:name w:val="文档结构图 Char"/>
    <w:basedOn w:val="48"/>
    <w:link w:val="18"/>
    <w:semiHidden/>
    <w:qFormat/>
    <w:uiPriority w:val="0"/>
    <w:rPr>
      <w:kern w:val="2"/>
      <w:sz w:val="24"/>
      <w:szCs w:val="24"/>
      <w:shd w:val="clear" w:color="auto" w:fill="000080"/>
    </w:rPr>
  </w:style>
  <w:style w:type="character" w:customStyle="1" w:styleId="148">
    <w:name w:val="正文文字 Char Char"/>
    <w:qFormat/>
    <w:uiPriority w:val="0"/>
    <w:rPr>
      <w:rFonts w:ascii="Calibri" w:hAnsi="Calibri"/>
      <w:kern w:val="2"/>
      <w:sz w:val="24"/>
      <w:szCs w:val="22"/>
    </w:rPr>
  </w:style>
  <w:style w:type="paragraph" w:customStyle="1" w:styleId="149">
    <w:name w:val="样式 宋体 小四 段前: 7.8 磅 段后: 7.8 磅 行距: 多倍行距 1.25 字行"/>
    <w:basedOn w:val="1"/>
    <w:qFormat/>
    <w:uiPriority w:val="0"/>
    <w:pPr>
      <w:numPr>
        <w:ilvl w:val="0"/>
        <w:numId w:val="3"/>
      </w:numPr>
      <w:spacing w:beforeLines="0" w:after="156"/>
      <w:ind w:left="0" w:leftChars="0"/>
    </w:pPr>
    <w:rPr>
      <w:rFonts w:ascii="宋体" w:hAnsi="宋体" w:cs="宋体"/>
      <w:szCs w:val="20"/>
    </w:rPr>
  </w:style>
  <w:style w:type="paragraph" w:customStyle="1" w:styleId="150">
    <w:name w:val="第一级"/>
    <w:basedOn w:val="2"/>
    <w:qFormat/>
    <w:uiPriority w:val="0"/>
    <w:pPr>
      <w:numPr>
        <w:numId w:val="4"/>
      </w:numPr>
      <w:spacing w:beforeLines="100"/>
      <w:jc w:val="both"/>
    </w:pPr>
    <w:rPr>
      <w:rFonts w:ascii="黑体" w:hAnsi="黑体"/>
      <w:color w:val="000000"/>
      <w:szCs w:val="36"/>
    </w:rPr>
  </w:style>
  <w:style w:type="character" w:customStyle="1" w:styleId="151">
    <w:name w:val="font11"/>
    <w:basedOn w:val="48"/>
    <w:qFormat/>
    <w:uiPriority w:val="0"/>
    <w:rPr>
      <w:rFonts w:hint="eastAsia" w:ascii="宋体" w:hAnsi="宋体" w:eastAsia="宋体" w:cs="宋体"/>
      <w:color w:val="000000"/>
      <w:sz w:val="18"/>
      <w:szCs w:val="18"/>
      <w:u w:val="none"/>
    </w:rPr>
  </w:style>
  <w:style w:type="character" w:customStyle="1" w:styleId="152">
    <w:name w:val="font41"/>
    <w:basedOn w:val="48"/>
    <w:qFormat/>
    <w:uiPriority w:val="0"/>
    <w:rPr>
      <w:rFonts w:hint="default" w:ascii="Times New Roman" w:hAnsi="Times New Roman" w:cs="Times New Roman"/>
      <w:color w:val="000000"/>
      <w:sz w:val="18"/>
      <w:szCs w:val="18"/>
      <w:u w:val="none"/>
    </w:rPr>
  </w:style>
  <w:style w:type="character" w:customStyle="1" w:styleId="153">
    <w:name w:val="font21"/>
    <w:basedOn w:val="48"/>
    <w:qFormat/>
    <w:uiPriority w:val="0"/>
    <w:rPr>
      <w:rFonts w:hint="eastAsia" w:ascii="宋体" w:hAnsi="宋体" w:eastAsia="宋体" w:cs="宋体"/>
      <w:color w:val="000000"/>
      <w:sz w:val="18"/>
      <w:szCs w:val="18"/>
      <w:u w:val="none"/>
    </w:rPr>
  </w:style>
  <w:style w:type="character" w:customStyle="1" w:styleId="154">
    <w:name w:val="font81"/>
    <w:basedOn w:val="48"/>
    <w:qFormat/>
    <w:uiPriority w:val="0"/>
    <w:rPr>
      <w:rFonts w:hint="eastAsia" w:ascii="宋体" w:hAnsi="宋体" w:eastAsia="宋体" w:cs="宋体"/>
      <w:color w:val="000000"/>
      <w:sz w:val="18"/>
      <w:szCs w:val="18"/>
      <w:u w:val="none"/>
    </w:rPr>
  </w:style>
  <w:style w:type="character" w:customStyle="1" w:styleId="155">
    <w:name w:val="font51"/>
    <w:basedOn w:val="48"/>
    <w:qFormat/>
    <w:uiPriority w:val="0"/>
    <w:rPr>
      <w:rFonts w:hint="default" w:ascii="Times New Roman" w:hAnsi="Times New Roman" w:cs="Times New Roman"/>
      <w:color w:val="000000"/>
      <w:sz w:val="18"/>
      <w:szCs w:val="18"/>
      <w:u w:val="none"/>
    </w:rPr>
  </w:style>
  <w:style w:type="character" w:customStyle="1" w:styleId="156">
    <w:name w:val="font61"/>
    <w:basedOn w:val="48"/>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48D077-273A-4A3A-A25E-CDB8122B23BB}">
  <ds:schemaRefs/>
</ds:datastoreItem>
</file>

<file path=docProps/app.xml><?xml version="1.0" encoding="utf-8"?>
<Properties xmlns="http://schemas.openxmlformats.org/officeDocument/2006/extended-properties" xmlns:vt="http://schemas.openxmlformats.org/officeDocument/2006/docPropsVTypes">
  <Template>Normal</Template>
  <Company>JUJUMAO</Company>
  <Pages>131</Pages>
  <Words>13460</Words>
  <Characters>76727</Characters>
  <Lines>639</Lines>
  <Paragraphs>180</Paragraphs>
  <TotalTime>2</TotalTime>
  <ScaleCrop>false</ScaleCrop>
  <LinksUpToDate>false</LinksUpToDate>
  <CharactersWithSpaces>90007</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2017-09-10T07:19:00Z</dcterms:created>
  <dc:creator>MC SYSTEM</dc:creator>
  <cp:lastModifiedBy>admin</cp:lastModifiedBy>
  <cp:lastPrinted>2017-09-22T10:48:00Z</cp:lastPrinted>
  <dcterms:modified xsi:type="dcterms:W3CDTF">2018-05-07T02:28:55Z</dcterms:modified>
  <dc:title>目    录</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