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 w:hAnsi="仿宋" w:eastAsia="仿宋" w:cs="仿宋_GB2312"/>
          <w:sz w:val="36"/>
          <w:szCs w:val="36"/>
        </w:rPr>
      </w:pPr>
      <w:r>
        <w:rPr>
          <w:rFonts w:hint="eastAsia" w:ascii="仿宋" w:hAnsi="仿宋" w:eastAsia="仿宋" w:cs="仿宋_GB2312"/>
          <w:sz w:val="36"/>
          <w:szCs w:val="36"/>
        </w:rPr>
        <w:t>《晋中市海绵城市建设管理条例》</w:t>
      </w:r>
    </w:p>
    <w:p>
      <w:pPr>
        <w:spacing w:line="360" w:lineRule="auto"/>
        <w:jc w:val="center"/>
        <w:rPr>
          <w:rFonts w:ascii="仿宋" w:hAnsi="仿宋" w:eastAsia="仿宋" w:cs="仿宋_GB2312"/>
          <w:sz w:val="36"/>
          <w:szCs w:val="36"/>
        </w:rPr>
      </w:pPr>
      <w:r>
        <w:rPr>
          <w:rFonts w:hint="eastAsia" w:ascii="仿宋" w:hAnsi="仿宋" w:eastAsia="仿宋" w:cs="仿宋_GB2312"/>
          <w:sz w:val="36"/>
          <w:szCs w:val="36"/>
        </w:rPr>
        <w:t>（</w:t>
      </w:r>
      <w:r>
        <w:rPr>
          <w:rFonts w:hint="eastAsia" w:ascii="仿宋" w:hAnsi="仿宋" w:eastAsia="仿宋" w:cs="仿宋_GB2312"/>
          <w:sz w:val="36"/>
          <w:szCs w:val="36"/>
          <w:lang w:eastAsia="zh-CN"/>
        </w:rPr>
        <w:t>征求意见</w:t>
      </w:r>
      <w:r>
        <w:rPr>
          <w:rFonts w:hint="eastAsia" w:ascii="仿宋" w:hAnsi="仿宋" w:eastAsia="仿宋" w:cs="仿宋_GB2312"/>
          <w:sz w:val="36"/>
          <w:szCs w:val="36"/>
        </w:rPr>
        <w:t>稿）</w:t>
      </w:r>
      <w:bookmarkStart w:id="3" w:name="_GoBack"/>
      <w:bookmarkEnd w:id="3"/>
    </w:p>
    <w:p>
      <w:pPr>
        <w:spacing w:line="360" w:lineRule="auto"/>
        <w:jc w:val="center"/>
        <w:rPr>
          <w:rFonts w:ascii="黑体" w:hAnsi="黑体" w:eastAsia="黑体" w:cs="仿宋"/>
          <w:sz w:val="32"/>
          <w:szCs w:val="32"/>
        </w:rPr>
      </w:pPr>
      <w:r>
        <w:rPr>
          <w:rFonts w:hint="eastAsia" w:ascii="黑体" w:hAnsi="黑体" w:eastAsia="黑体" w:cs="仿宋"/>
          <w:sz w:val="32"/>
          <w:szCs w:val="32"/>
        </w:rPr>
        <w:t>第一章  总  则</w:t>
      </w:r>
    </w:p>
    <w:p>
      <w:pPr>
        <w:spacing w:line="360" w:lineRule="auto"/>
        <w:ind w:firstLine="640" w:firstLineChars="200"/>
        <w:rPr>
          <w:rFonts w:ascii="仿宋" w:hAnsi="仿宋" w:eastAsia="仿宋" w:cs="黑体"/>
          <w:sz w:val="32"/>
          <w:szCs w:val="32"/>
        </w:rPr>
      </w:pPr>
    </w:p>
    <w:p>
      <w:pPr>
        <w:spacing w:line="360" w:lineRule="auto"/>
        <w:ind w:firstLine="640" w:firstLineChars="200"/>
        <w:rPr>
          <w:rFonts w:ascii="仿宋" w:hAnsi="仿宋" w:eastAsia="仿宋" w:cs="仿宋_GB2312"/>
          <w:sz w:val="32"/>
          <w:szCs w:val="32"/>
        </w:rPr>
      </w:pPr>
      <w:r>
        <w:rPr>
          <w:rFonts w:hint="eastAsia" w:ascii="黑体" w:hAnsi="黑体" w:eastAsia="黑体" w:cs="仿宋"/>
          <w:sz w:val="32"/>
          <w:szCs w:val="32"/>
        </w:rPr>
        <w:t>第一条 【立法目的与依据】</w:t>
      </w:r>
      <w:r>
        <w:rPr>
          <w:rFonts w:hint="eastAsia" w:ascii="仿宋" w:hAnsi="仿宋" w:eastAsia="仿宋" w:cs="仿宋_GB2312"/>
          <w:sz w:val="32"/>
          <w:szCs w:val="32"/>
        </w:rPr>
        <w:t>为了规范海绵城市建设与管理，提高城市排水防涝能力，保护和改善城市生态环境，促进人与自然和谐发展，根据《中华人民共和国水法》《中华人民共和国建筑法》《城镇排水与污水处理条例》等有关法律法规，结合本市实际，制定本条例。</w:t>
      </w:r>
    </w:p>
    <w:p>
      <w:pPr>
        <w:spacing w:line="360" w:lineRule="auto"/>
        <w:ind w:firstLine="640" w:firstLineChars="200"/>
        <w:rPr>
          <w:rFonts w:ascii="仿宋" w:hAnsi="仿宋" w:eastAsia="仿宋" w:cs="仿宋_GB2312"/>
          <w:sz w:val="32"/>
          <w:szCs w:val="32"/>
        </w:rPr>
      </w:pPr>
      <w:r>
        <w:rPr>
          <w:rFonts w:hint="eastAsia" w:ascii="黑体" w:hAnsi="黑体" w:eastAsia="黑体" w:cs="仿宋"/>
          <w:sz w:val="32"/>
          <w:szCs w:val="32"/>
        </w:rPr>
        <w:t>第二条 【适用范围】</w:t>
      </w:r>
      <w:r>
        <w:rPr>
          <w:rFonts w:hint="eastAsia" w:ascii="仿宋" w:hAnsi="仿宋" w:eastAsia="仿宋" w:cs="仿宋_GB2312"/>
          <w:sz w:val="32"/>
          <w:szCs w:val="32"/>
        </w:rPr>
        <w:t>本市行政区域内海绵城市规划、设计、施工、运行维护及其监督管理等活动，适用本条例。</w:t>
      </w:r>
    </w:p>
    <w:p>
      <w:pPr>
        <w:spacing w:line="360" w:lineRule="auto"/>
        <w:ind w:firstLine="640" w:firstLineChars="200"/>
        <w:rPr>
          <w:rFonts w:ascii="仿宋" w:hAnsi="仿宋" w:eastAsia="仿宋" w:cs="仿宋_GB2312"/>
          <w:sz w:val="32"/>
          <w:szCs w:val="32"/>
        </w:rPr>
      </w:pPr>
      <w:r>
        <w:rPr>
          <w:rFonts w:hint="eastAsia" w:ascii="仿宋" w:hAnsi="仿宋" w:eastAsia="仿宋" w:cs="仿宋_GB2312"/>
          <w:sz w:val="32"/>
          <w:szCs w:val="32"/>
        </w:rPr>
        <w:t>本条例所称海绵城市，是指通过加强城市规划建设管理和综合施策，保护和利用城市自然山体、河湖湿地、耕地、林地、草地等生态空间，发挥建筑、道路、绿地、水系等生态系统对雨水的吸纳、蓄渗和缓释作用，有效控制雨水径流，提升城市蓄水、渗水和涵养水的能力，实现自然积存、自然渗透、自然净化的城市发展方式。</w:t>
      </w:r>
    </w:p>
    <w:p>
      <w:pPr>
        <w:spacing w:line="360" w:lineRule="auto"/>
        <w:ind w:firstLine="640" w:firstLineChars="200"/>
        <w:rPr>
          <w:rFonts w:ascii="仿宋" w:hAnsi="仿宋" w:eastAsia="仿宋" w:cs="仿宋_GB2312"/>
          <w:sz w:val="32"/>
          <w:szCs w:val="32"/>
        </w:rPr>
      </w:pPr>
      <w:r>
        <w:rPr>
          <w:rFonts w:hint="eastAsia" w:ascii="黑体" w:hAnsi="黑体" w:eastAsia="黑体" w:cs="仿宋"/>
          <w:sz w:val="32"/>
          <w:szCs w:val="32"/>
        </w:rPr>
        <w:t>第三条 【基本原则】</w:t>
      </w:r>
      <w:r>
        <w:rPr>
          <w:rFonts w:hint="eastAsia" w:ascii="仿宋" w:hAnsi="仿宋" w:eastAsia="仿宋" w:cs="仿宋_GB2312"/>
          <w:sz w:val="32"/>
          <w:szCs w:val="32"/>
        </w:rPr>
        <w:t>海绵城市建设和管理应当遵循生态为本、自然循环，规划引领、统筹推进，简约适用、因地制宜，政府引导、社会参与原则。</w:t>
      </w:r>
    </w:p>
    <w:p>
      <w:pPr>
        <w:spacing w:line="360" w:lineRule="auto"/>
        <w:ind w:firstLine="640" w:firstLineChars="200"/>
        <w:rPr>
          <w:rFonts w:ascii="仿宋" w:hAnsi="仿宋" w:eastAsia="仿宋" w:cs="仿宋_GB2312"/>
          <w:sz w:val="32"/>
          <w:szCs w:val="32"/>
        </w:rPr>
      </w:pPr>
      <w:r>
        <w:rPr>
          <w:rFonts w:hint="eastAsia" w:ascii="黑体" w:hAnsi="黑体" w:eastAsia="黑体" w:cs="仿宋"/>
          <w:sz w:val="32"/>
          <w:szCs w:val="32"/>
        </w:rPr>
        <w:t>第四条【政府职责】</w:t>
      </w:r>
      <w:r>
        <w:rPr>
          <w:rFonts w:hint="eastAsia" w:ascii="仿宋" w:hAnsi="仿宋" w:eastAsia="仿宋" w:cs="仿宋_GB2312"/>
          <w:sz w:val="32"/>
          <w:szCs w:val="32"/>
        </w:rPr>
        <w:t>市人民政府负责统筹推进全市海绵城市建设工作，建立健全海绵城市建设管理体制，协调解决海绵城市建设和管理工作中的重大问题，建立完善绩效评价考核制度，指导督促各市级有关部门和县（市、区）人民政府履行海绵城市建设管理工作职责。</w:t>
      </w:r>
    </w:p>
    <w:p>
      <w:pPr>
        <w:spacing w:line="360" w:lineRule="auto"/>
        <w:ind w:firstLine="640" w:firstLineChars="200"/>
        <w:rPr>
          <w:rFonts w:ascii="仿宋" w:hAnsi="仿宋" w:eastAsia="仿宋" w:cs="仿宋_GB2312"/>
          <w:sz w:val="32"/>
          <w:szCs w:val="32"/>
        </w:rPr>
      </w:pPr>
      <w:r>
        <w:rPr>
          <w:rFonts w:hint="eastAsia" w:ascii="仿宋" w:hAnsi="仿宋" w:eastAsia="仿宋" w:cs="仿宋_GB2312"/>
          <w:sz w:val="32"/>
          <w:szCs w:val="32"/>
        </w:rPr>
        <w:t>县（市、区）人民政府负责统筹推进本行政区域内海绵城市建设和管理工作。</w:t>
      </w:r>
    </w:p>
    <w:p>
      <w:pPr>
        <w:spacing w:line="360" w:lineRule="auto"/>
        <w:ind w:firstLine="640" w:firstLineChars="200"/>
        <w:rPr>
          <w:rFonts w:ascii="仿宋" w:hAnsi="仿宋" w:eastAsia="仿宋" w:cs="仿宋_GB2312"/>
          <w:sz w:val="32"/>
          <w:szCs w:val="32"/>
        </w:rPr>
      </w:pPr>
      <w:r>
        <w:rPr>
          <w:rFonts w:hint="eastAsia" w:ascii="黑体" w:hAnsi="黑体" w:eastAsia="黑体" w:cs="仿宋"/>
          <w:sz w:val="32"/>
          <w:szCs w:val="32"/>
        </w:rPr>
        <w:t>第五条【部门职责】</w:t>
      </w:r>
      <w:bookmarkStart w:id="0" w:name="_Hlk113028814"/>
      <w:r>
        <w:rPr>
          <w:rFonts w:hint="eastAsia" w:ascii="仿宋" w:hAnsi="仿宋" w:eastAsia="仿宋" w:cs="仿宋_GB2312"/>
          <w:sz w:val="32"/>
          <w:szCs w:val="32"/>
        </w:rPr>
        <w:t>市、县（市、区）人民政府海绵城市建设管理主管部门</w:t>
      </w:r>
      <w:bookmarkEnd w:id="0"/>
      <w:r>
        <w:rPr>
          <w:rFonts w:hint="eastAsia" w:ascii="仿宋" w:hAnsi="仿宋" w:eastAsia="仿宋" w:cs="仿宋_GB2312"/>
          <w:sz w:val="32"/>
          <w:szCs w:val="32"/>
        </w:rPr>
        <w:t>负责海绵城市建设和运行的管理和指导工作。</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市、县（市、区）人民政府规划和自然资源、住房和城乡建设、行政审批等有关主管部门应当按照各自职责，将海绵城市建设内容和指标要求纳入项目立项、土地供应、规划许可等审查环节，协同配合做好海绵城市建设管理的相关工作。</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市、县（市、区）人民政府发展和改革、财政、水行政、交通运输、生态环境、气象等有关主管部门在各自职责范围内负责海绵城市建设和运行管理的相关工作。</w:t>
      </w:r>
    </w:p>
    <w:p>
      <w:pPr>
        <w:ind w:firstLine="643" w:firstLineChars="200"/>
        <w:rPr>
          <w:rFonts w:ascii="仿宋" w:hAnsi="仿宋" w:eastAsia="仿宋"/>
          <w:sz w:val="32"/>
          <w:szCs w:val="32"/>
        </w:rPr>
      </w:pPr>
      <w:r>
        <w:rPr>
          <w:rFonts w:hint="eastAsia" w:ascii="黑体" w:hAnsi="黑体" w:eastAsia="黑体"/>
          <w:b/>
          <w:bCs/>
          <w:sz w:val="32"/>
          <w:szCs w:val="32"/>
        </w:rPr>
        <w:t>第六</w:t>
      </w:r>
      <w:r>
        <w:rPr>
          <w:rFonts w:ascii="黑体" w:hAnsi="黑体" w:eastAsia="黑体"/>
          <w:b/>
          <w:bCs/>
          <w:sz w:val="32"/>
          <w:szCs w:val="32"/>
        </w:rPr>
        <w:t>条 【资金保障】</w:t>
      </w:r>
      <w:r>
        <w:rPr>
          <w:rFonts w:hint="eastAsia" w:ascii="仿宋" w:hAnsi="仿宋" w:eastAsia="仿宋"/>
          <w:sz w:val="32"/>
          <w:szCs w:val="32"/>
        </w:rPr>
        <w:t>市、县（市、区）人民政府应当将市政海绵城市建设及运行维护费用纳入本级中长期财政规划和年度财政预算。</w:t>
      </w:r>
    </w:p>
    <w:p>
      <w:pPr>
        <w:ind w:firstLine="640" w:firstLineChars="200"/>
        <w:rPr>
          <w:rFonts w:ascii="仿宋" w:hAnsi="仿宋" w:eastAsia="仿宋"/>
          <w:sz w:val="32"/>
          <w:szCs w:val="32"/>
        </w:rPr>
      </w:pPr>
      <w:r>
        <w:rPr>
          <w:rFonts w:hint="eastAsia" w:ascii="仿宋" w:hAnsi="仿宋" w:eastAsia="仿宋"/>
          <w:sz w:val="32"/>
          <w:szCs w:val="32"/>
        </w:rPr>
        <w:t>市、县（市、区）人民政府可以通过特许经营、政府和社会资本合作、政府购买服务等模式，吸引社会资本参与公园绿地、雨水资源化利用等海绵城市项目的建设管理和运行。</w:t>
      </w:r>
    </w:p>
    <w:p>
      <w:pPr>
        <w:ind w:firstLine="640" w:firstLineChars="200"/>
        <w:rPr>
          <w:rFonts w:ascii="仿宋" w:hAnsi="仿宋" w:eastAsia="仿宋" w:cs="仿宋_GB2312"/>
          <w:sz w:val="32"/>
          <w:szCs w:val="32"/>
        </w:rPr>
      </w:pPr>
      <w:r>
        <w:rPr>
          <w:rFonts w:hint="eastAsia" w:ascii="黑体" w:hAnsi="黑体" w:eastAsia="黑体"/>
          <w:sz w:val="32"/>
          <w:szCs w:val="32"/>
        </w:rPr>
        <w:t>第七</w:t>
      </w:r>
      <w:r>
        <w:rPr>
          <w:rFonts w:ascii="黑体" w:hAnsi="黑体" w:eastAsia="黑体"/>
          <w:sz w:val="32"/>
          <w:szCs w:val="32"/>
        </w:rPr>
        <w:t>条</w:t>
      </w:r>
      <w:r>
        <w:rPr>
          <w:rFonts w:hint="eastAsia" w:ascii="黑体" w:hAnsi="黑体" w:eastAsia="黑体" w:cs="仿宋"/>
          <w:sz w:val="32"/>
          <w:szCs w:val="32"/>
        </w:rPr>
        <w:t>【社会参与】</w:t>
      </w:r>
      <w:r>
        <w:rPr>
          <w:rFonts w:hint="eastAsia" w:ascii="仿宋" w:hAnsi="仿宋" w:eastAsia="仿宋" w:cs="仿宋_GB2312"/>
          <w:sz w:val="32"/>
          <w:szCs w:val="32"/>
        </w:rPr>
        <w:t>市、县（市、区）人民政府应当广泛开展海绵城市知识科普宣传，引导、鼓励单位和个人参与海绵城市建设和管理。</w:t>
      </w:r>
    </w:p>
    <w:p>
      <w:pPr>
        <w:spacing w:line="360" w:lineRule="auto"/>
        <w:ind w:firstLine="640" w:firstLineChars="200"/>
        <w:rPr>
          <w:rFonts w:ascii="仿宋" w:hAnsi="仿宋" w:eastAsia="仿宋" w:cs="仿宋_GB2312"/>
          <w:sz w:val="32"/>
          <w:szCs w:val="32"/>
        </w:rPr>
      </w:pPr>
      <w:r>
        <w:rPr>
          <w:rFonts w:hint="eastAsia" w:ascii="仿宋" w:hAnsi="仿宋" w:eastAsia="仿宋"/>
          <w:sz w:val="32"/>
          <w:szCs w:val="32"/>
        </w:rPr>
        <w:t>鼓励、支持海绵城市科学技术研究，</w:t>
      </w:r>
      <w:r>
        <w:rPr>
          <w:rFonts w:hint="eastAsia" w:ascii="仿宋" w:hAnsi="仿宋" w:eastAsia="仿宋" w:cs="仿宋_GB2312"/>
          <w:sz w:val="32"/>
          <w:szCs w:val="32"/>
        </w:rPr>
        <w:t>推广应用海绵城市建设的新技术、新工艺和新产品，促进海绵城市建设绿色发展。</w:t>
      </w:r>
    </w:p>
    <w:p>
      <w:pPr>
        <w:spacing w:line="360" w:lineRule="auto"/>
        <w:ind w:firstLine="640" w:firstLineChars="200"/>
        <w:rPr>
          <w:rFonts w:ascii="仿宋" w:hAnsi="仿宋" w:eastAsia="仿宋" w:cs="仿宋_GB2312"/>
          <w:sz w:val="32"/>
          <w:szCs w:val="32"/>
        </w:rPr>
      </w:pPr>
    </w:p>
    <w:p>
      <w:pPr>
        <w:spacing w:line="360" w:lineRule="auto"/>
        <w:jc w:val="center"/>
        <w:rPr>
          <w:rFonts w:ascii="黑体" w:hAnsi="黑体" w:eastAsia="黑体" w:cs="仿宋_GB2312"/>
          <w:sz w:val="32"/>
          <w:szCs w:val="32"/>
        </w:rPr>
      </w:pPr>
      <w:r>
        <w:rPr>
          <w:rFonts w:hint="eastAsia" w:ascii="黑体" w:hAnsi="黑体" w:eastAsia="黑体" w:cs="仿宋_GB2312"/>
          <w:sz w:val="32"/>
          <w:szCs w:val="32"/>
        </w:rPr>
        <w:t>第二章  规划和建设</w:t>
      </w:r>
    </w:p>
    <w:p>
      <w:pPr>
        <w:ind w:firstLine="640" w:firstLineChars="200"/>
        <w:rPr>
          <w:rFonts w:ascii="黑体" w:hAnsi="黑体" w:eastAsia="黑体" w:cs="仿宋"/>
          <w:sz w:val="32"/>
          <w:szCs w:val="32"/>
        </w:rPr>
      </w:pPr>
    </w:p>
    <w:p>
      <w:pPr>
        <w:ind w:firstLine="640" w:firstLineChars="200"/>
        <w:rPr>
          <w:rFonts w:ascii="仿宋" w:hAnsi="仿宋" w:eastAsia="仿宋" w:cs="仿宋"/>
          <w:sz w:val="32"/>
          <w:szCs w:val="32"/>
        </w:rPr>
      </w:pPr>
      <w:r>
        <w:rPr>
          <w:rFonts w:hint="eastAsia" w:ascii="黑体" w:hAnsi="黑体" w:eastAsia="黑体" w:cs="仿宋"/>
          <w:sz w:val="32"/>
          <w:szCs w:val="32"/>
        </w:rPr>
        <w:t>第八条 【建设规划】</w:t>
      </w:r>
      <w:r>
        <w:rPr>
          <w:rFonts w:hint="eastAsia" w:ascii="仿宋" w:hAnsi="仿宋" w:eastAsia="仿宋" w:cs="仿宋"/>
          <w:sz w:val="32"/>
          <w:szCs w:val="32"/>
        </w:rPr>
        <w:t>市、县（市、区）人民政府城市管理部门会同规划和自然资源、住房和城乡建设、生态环境、水行政等主管部门编制海绵城市专项规划，报同级人民政府批准后实施。</w:t>
      </w:r>
    </w:p>
    <w:p>
      <w:pPr>
        <w:ind w:firstLine="640" w:firstLineChars="200"/>
        <w:rPr>
          <w:rFonts w:ascii="仿宋" w:hAnsi="仿宋" w:eastAsia="仿宋" w:cs="仿宋"/>
          <w:sz w:val="32"/>
          <w:szCs w:val="32"/>
        </w:rPr>
      </w:pPr>
      <w:r>
        <w:rPr>
          <w:rFonts w:hint="eastAsia" w:ascii="仿宋" w:hAnsi="仿宋" w:eastAsia="仿宋" w:cs="仿宋"/>
          <w:sz w:val="32"/>
          <w:szCs w:val="32"/>
        </w:rPr>
        <w:t>海绵城市专项规划应当纳入国土空间规划，并与城市道路、绿地、水系、排水防涝等专项规划相协调，与相关详细规划相衔接。</w:t>
      </w:r>
    </w:p>
    <w:p>
      <w:pPr>
        <w:ind w:firstLine="640" w:firstLineChars="200"/>
        <w:rPr>
          <w:rFonts w:ascii="仿宋" w:hAnsi="仿宋" w:eastAsia="仿宋" w:cs="仿宋"/>
          <w:sz w:val="32"/>
          <w:szCs w:val="32"/>
        </w:rPr>
      </w:pPr>
      <w:r>
        <w:rPr>
          <w:rFonts w:hint="eastAsia" w:ascii="仿宋" w:hAnsi="仿宋" w:eastAsia="仿宋" w:cs="仿宋"/>
          <w:sz w:val="32"/>
          <w:szCs w:val="32"/>
        </w:rPr>
        <w:t>市、县（市、区）人民政府规划和自然资源主管部门应当将雨水年径流总量控制率等海绵城市技术指标纳入控制性详细规划，在规划设计条件中予以明确。</w:t>
      </w:r>
    </w:p>
    <w:p>
      <w:pPr>
        <w:spacing w:line="360" w:lineRule="auto"/>
        <w:ind w:firstLine="640" w:firstLineChars="200"/>
        <w:rPr>
          <w:rFonts w:ascii="仿宋" w:hAnsi="仿宋" w:eastAsia="仿宋" w:cs="仿宋"/>
          <w:bCs/>
          <w:sz w:val="32"/>
          <w:szCs w:val="32"/>
          <w:shd w:val="clear" w:color="auto" w:fill="FFFFFF"/>
        </w:rPr>
      </w:pPr>
      <w:r>
        <w:rPr>
          <w:rFonts w:hint="eastAsia" w:ascii="黑体" w:hAnsi="黑体" w:eastAsia="黑体" w:cs="黑体"/>
          <w:bCs/>
          <w:sz w:val="32"/>
          <w:szCs w:val="32"/>
          <w:shd w:val="clear" w:color="auto" w:fill="FFFFFF"/>
        </w:rPr>
        <w:t>第九条 【建设计划】</w:t>
      </w:r>
      <w:r>
        <w:rPr>
          <w:rFonts w:hint="eastAsia" w:ascii="仿宋" w:hAnsi="仿宋" w:eastAsia="仿宋" w:cs="仿宋"/>
          <w:bCs/>
          <w:sz w:val="32"/>
          <w:szCs w:val="32"/>
          <w:shd w:val="clear" w:color="auto" w:fill="FFFFFF"/>
        </w:rPr>
        <w:t>市、县（市、区）人民政府城市管理主管部门会同发展与改革、规划和自然资源、住房和城乡建设、水行政等主管部门按照海绵城市专项规划科学统筹规划海绵城市建设项目，建立项目库，制定海绵城市年度建设计划，报本级人民政府批准后实施。</w:t>
      </w:r>
    </w:p>
    <w:p>
      <w:pPr>
        <w:ind w:firstLine="640" w:firstLineChars="200"/>
        <w:rPr>
          <w:rFonts w:ascii="仿宋" w:hAnsi="仿宋" w:eastAsia="仿宋" w:cs="仿宋"/>
          <w:sz w:val="32"/>
          <w:szCs w:val="32"/>
        </w:rPr>
      </w:pPr>
      <w:r>
        <w:rPr>
          <w:rFonts w:hint="eastAsia" w:ascii="仿宋" w:hAnsi="仿宋" w:eastAsia="仿宋" w:cs="仿宋"/>
          <w:sz w:val="32"/>
          <w:szCs w:val="32"/>
        </w:rPr>
        <w:t>建设计划应当优先安排积水内涝严重的老旧城区改造项目。</w:t>
      </w:r>
    </w:p>
    <w:p>
      <w:pPr>
        <w:ind w:firstLine="640" w:firstLineChars="200"/>
        <w:rPr>
          <w:rFonts w:ascii="仿宋" w:hAnsi="仿宋" w:eastAsia="仿宋" w:cs="仿宋"/>
          <w:sz w:val="32"/>
          <w:szCs w:val="32"/>
        </w:rPr>
      </w:pPr>
      <w:r>
        <w:rPr>
          <w:rFonts w:hint="eastAsia" w:ascii="仿宋" w:hAnsi="仿宋" w:eastAsia="仿宋" w:cs="仿宋"/>
          <w:sz w:val="32"/>
          <w:szCs w:val="32"/>
        </w:rPr>
        <w:t>政府投资建设的公共建筑、道路、公园、绿地、广场等公益性项目应当率先落实海绵城市建设相关要求。</w:t>
      </w:r>
    </w:p>
    <w:p>
      <w:pPr>
        <w:spacing w:line="360" w:lineRule="auto"/>
        <w:ind w:firstLine="640" w:firstLineChars="200"/>
        <w:rPr>
          <w:rFonts w:ascii="仿宋" w:hAnsi="仿宋" w:eastAsia="仿宋" w:cs="仿宋"/>
          <w:bCs/>
          <w:sz w:val="32"/>
          <w:szCs w:val="32"/>
          <w:shd w:val="clear" w:color="auto" w:fill="FFFFFF"/>
        </w:rPr>
      </w:pPr>
      <w:r>
        <w:rPr>
          <w:rFonts w:hint="eastAsia" w:ascii="黑体" w:hAnsi="黑体" w:eastAsia="黑体" w:cs="黑体"/>
          <w:sz w:val="32"/>
          <w:szCs w:val="32"/>
        </w:rPr>
        <w:t>第十条 【技术规范】</w:t>
      </w:r>
      <w:r>
        <w:rPr>
          <w:rFonts w:hint="eastAsia" w:ascii="仿宋" w:hAnsi="仿宋" w:eastAsia="仿宋" w:cs="仿宋"/>
          <w:bCs/>
          <w:sz w:val="32"/>
          <w:szCs w:val="32"/>
          <w:shd w:val="clear" w:color="auto" w:fill="FFFFFF"/>
        </w:rPr>
        <w:t>市人民政府应当组织市城市管理、住房和城乡建设、规划和自然资源、水行政、行政审批等有关部门依法制定海绵城市建设标准规范和技术导则。</w:t>
      </w:r>
    </w:p>
    <w:p>
      <w:pPr>
        <w:ind w:firstLine="640" w:firstLineChars="200"/>
        <w:rPr>
          <w:rFonts w:ascii="仿宋" w:hAnsi="仿宋" w:eastAsia="仿宋" w:cs="仿宋"/>
          <w:bCs/>
          <w:sz w:val="32"/>
          <w:szCs w:val="32"/>
          <w:shd w:val="clear" w:color="auto" w:fill="FFFFFF"/>
        </w:rPr>
      </w:pPr>
      <w:r>
        <w:rPr>
          <w:rFonts w:hint="eastAsia" w:ascii="仿宋" w:hAnsi="仿宋" w:eastAsia="仿宋" w:cs="仿宋"/>
          <w:bCs/>
          <w:sz w:val="32"/>
          <w:szCs w:val="32"/>
          <w:shd w:val="clear" w:color="auto" w:fill="FFFFFF"/>
        </w:rPr>
        <w:t>海绵城市规划、设计、建设、运行维护应当符合国家、省、市相关技术标准要求。</w:t>
      </w:r>
    </w:p>
    <w:p>
      <w:pPr>
        <w:ind w:firstLine="640" w:firstLineChars="200"/>
        <w:rPr>
          <w:rFonts w:cs="Times New Roman"/>
          <w:szCs w:val="21"/>
        </w:rPr>
      </w:pPr>
      <w:r>
        <w:rPr>
          <w:rFonts w:hint="eastAsia" w:ascii="黑体" w:hAnsi="黑体" w:eastAsia="黑体" w:cs="黑体"/>
          <w:sz w:val="32"/>
          <w:szCs w:val="32"/>
        </w:rPr>
        <w:t>第十一条 【“四同时”原则】</w:t>
      </w:r>
      <w:r>
        <w:rPr>
          <w:rFonts w:hint="eastAsia" w:ascii="仿宋" w:hAnsi="仿宋" w:eastAsia="仿宋" w:cs="黑体"/>
          <w:sz w:val="32"/>
          <w:szCs w:val="32"/>
        </w:rPr>
        <w:t>城市规划建设管理全过程应当落实海绵城市建设要求。海绵城市设施应当与建设工程项目主体工程</w:t>
      </w:r>
      <w:r>
        <w:rPr>
          <w:rFonts w:hint="eastAsia" w:ascii="仿宋" w:hAnsi="仿宋" w:eastAsia="仿宋" w:cs="仿宋"/>
          <w:sz w:val="32"/>
          <w:szCs w:val="32"/>
        </w:rPr>
        <w:t>同步设计、同步施工、同步验收、同步交付使用。</w:t>
      </w:r>
    </w:p>
    <w:p>
      <w:pPr>
        <w:ind w:firstLine="640" w:firstLineChars="200"/>
        <w:rPr>
          <w:rFonts w:ascii="仿宋" w:hAnsi="仿宋" w:eastAsia="仿宋" w:cs="仿宋"/>
          <w:sz w:val="32"/>
          <w:szCs w:val="32"/>
        </w:rPr>
      </w:pPr>
      <w:r>
        <w:rPr>
          <w:rFonts w:hint="eastAsia" w:ascii="黑体" w:hAnsi="黑体" w:eastAsia="黑体" w:cs="仿宋"/>
          <w:sz w:val="32"/>
          <w:szCs w:val="32"/>
        </w:rPr>
        <w:t>第十二条 【海绵城市专项建设项目要求】</w:t>
      </w:r>
      <w:r>
        <w:rPr>
          <w:rFonts w:hint="eastAsia" w:ascii="仿宋" w:hAnsi="仿宋" w:eastAsia="仿宋" w:cs="仿宋"/>
          <w:sz w:val="32"/>
          <w:szCs w:val="32"/>
        </w:rPr>
        <w:t>市、县（市、区）人民政府住房和城乡建设主管部门应当合理确定城市防洪排涝分区和建设技术标准，明确城市洪涝水滞蓄区域和外排出路。</w:t>
      </w:r>
    </w:p>
    <w:p>
      <w:pPr>
        <w:ind w:firstLine="640" w:firstLineChars="200"/>
        <w:rPr>
          <w:rFonts w:ascii="仿宋" w:hAnsi="仿宋" w:eastAsia="仿宋" w:cs="仿宋"/>
          <w:sz w:val="32"/>
          <w:szCs w:val="32"/>
        </w:rPr>
      </w:pPr>
      <w:r>
        <w:rPr>
          <w:rFonts w:hint="eastAsia" w:ascii="仿宋" w:hAnsi="仿宋" w:eastAsia="仿宋" w:cs="仿宋"/>
          <w:sz w:val="32"/>
          <w:szCs w:val="32"/>
        </w:rPr>
        <w:t>市、县（市、区）人民政府城市管理主管部门应当按照雨水径流控制要求建设和改造雨水径流调蓄、承泄、提升等设施，实施雨污分流建设、改造。</w:t>
      </w:r>
    </w:p>
    <w:p>
      <w:pPr>
        <w:ind w:firstLine="640" w:firstLineChars="200"/>
        <w:rPr>
          <w:rFonts w:ascii="仿宋" w:hAnsi="仿宋" w:eastAsia="仿宋" w:cs="仿宋"/>
          <w:sz w:val="32"/>
          <w:szCs w:val="32"/>
        </w:rPr>
      </w:pPr>
      <w:r>
        <w:rPr>
          <w:rFonts w:hint="eastAsia" w:ascii="仿宋" w:hAnsi="仿宋" w:eastAsia="仿宋" w:cs="仿宋"/>
          <w:sz w:val="32"/>
          <w:szCs w:val="32"/>
        </w:rPr>
        <w:t>市、县（市、区）人民政府水行政主管部门应当建立山洪防洪体系，保护和拓展自然调蓄空间，保障城市建成区域防洪安全。</w:t>
      </w:r>
    </w:p>
    <w:p>
      <w:pPr>
        <w:ind w:firstLine="640" w:firstLineChars="200"/>
        <w:rPr>
          <w:rFonts w:ascii="仿宋" w:hAnsi="仿宋" w:eastAsia="仿宋" w:cs="仿宋"/>
          <w:sz w:val="32"/>
          <w:szCs w:val="32"/>
        </w:rPr>
      </w:pPr>
      <w:r>
        <w:rPr>
          <w:rFonts w:hint="eastAsia" w:ascii="仿宋" w:hAnsi="仿宋" w:eastAsia="仿宋" w:cs="仿宋"/>
          <w:sz w:val="32"/>
          <w:szCs w:val="32"/>
        </w:rPr>
        <w:t>防洪、排涝项目建设应当符合相关建设规范和技术标准。</w:t>
      </w:r>
    </w:p>
    <w:p>
      <w:pPr>
        <w:ind w:firstLine="640" w:firstLineChars="200"/>
        <w:rPr>
          <w:rFonts w:ascii="仿宋" w:hAnsi="仿宋" w:eastAsia="仿宋" w:cs="仿宋"/>
          <w:sz w:val="32"/>
          <w:szCs w:val="32"/>
        </w:rPr>
      </w:pPr>
      <w:r>
        <w:rPr>
          <w:rFonts w:hint="eastAsia" w:ascii="黑体" w:hAnsi="黑体" w:eastAsia="黑体" w:cs="仿宋"/>
          <w:sz w:val="32"/>
          <w:szCs w:val="32"/>
        </w:rPr>
        <w:t>第十三条 【工程建设项目海绵设施要求】</w:t>
      </w:r>
      <w:r>
        <w:rPr>
          <w:rFonts w:hint="eastAsia" w:ascii="仿宋" w:hAnsi="仿宋" w:eastAsia="仿宋" w:cs="仿宋"/>
          <w:sz w:val="32"/>
          <w:szCs w:val="32"/>
        </w:rPr>
        <w:t>新建、改建、扩建下列建设工程项目应当按照要求建设海绵城市设施：</w:t>
      </w:r>
    </w:p>
    <w:p>
      <w:pPr>
        <w:ind w:firstLine="640" w:firstLineChars="200"/>
        <w:rPr>
          <w:rFonts w:ascii="仿宋" w:hAnsi="仿宋" w:eastAsia="仿宋" w:cs="仿宋"/>
          <w:sz w:val="32"/>
          <w:szCs w:val="32"/>
        </w:rPr>
      </w:pPr>
      <w:r>
        <w:rPr>
          <w:rFonts w:hint="eastAsia" w:ascii="仿宋" w:hAnsi="仿宋" w:eastAsia="仿宋" w:cs="仿宋"/>
          <w:sz w:val="32"/>
          <w:szCs w:val="32"/>
        </w:rPr>
        <w:t>（一）大型新建、改建、扩建公共建筑及工业企业应当配套建设再生水回用设施，实行再生水回用；</w:t>
      </w:r>
    </w:p>
    <w:p>
      <w:pPr>
        <w:ind w:firstLine="640" w:firstLineChars="200"/>
        <w:rPr>
          <w:rFonts w:ascii="仿宋" w:hAnsi="仿宋" w:eastAsia="仿宋" w:cs="仿宋"/>
          <w:sz w:val="32"/>
          <w:szCs w:val="32"/>
        </w:rPr>
      </w:pPr>
      <w:r>
        <w:rPr>
          <w:rFonts w:hint="eastAsia" w:ascii="仿宋" w:hAnsi="仿宋" w:eastAsia="仿宋" w:cs="仿宋"/>
          <w:sz w:val="32"/>
          <w:szCs w:val="32"/>
        </w:rPr>
        <w:t>（二）建筑与小区按照低影响开发要求采取屋顶绿化、雨水调蓄与收集利用、微地形等措施，提高雨水积存和蓄滞能力；</w:t>
      </w:r>
    </w:p>
    <w:p>
      <w:pPr>
        <w:ind w:firstLine="640" w:firstLineChars="200"/>
        <w:rPr>
          <w:rFonts w:ascii="仿宋" w:hAnsi="仿宋" w:eastAsia="仿宋" w:cs="仿宋"/>
          <w:sz w:val="32"/>
          <w:szCs w:val="32"/>
        </w:rPr>
      </w:pPr>
      <w:r>
        <w:rPr>
          <w:rFonts w:hint="eastAsia" w:ascii="仿宋" w:hAnsi="仿宋" w:eastAsia="仿宋" w:cs="仿宋"/>
          <w:sz w:val="32"/>
          <w:szCs w:val="32"/>
        </w:rPr>
        <w:t>（三）道路、广场和停车场设置雨水收集、净化和利用装置。非机动车道、人行道、停车场、广场等使用透水铺装；城市广场采用下沉式布局，配套建设雨水调蓄设施。已建道路和广场通过路缘石改造和增加植草沟、溢流口等方式将道路径流引入绿地空间。新建和改造绿化带使用生物滞留设施、植草沟、卵石沟等多种形式的低影响设施，消纳道路及周边地块雨水径流。</w:t>
      </w:r>
    </w:p>
    <w:p>
      <w:pPr>
        <w:ind w:firstLine="640" w:firstLineChars="200"/>
        <w:rPr>
          <w:rFonts w:ascii="仿宋" w:hAnsi="仿宋" w:eastAsia="仿宋" w:cs="仿宋"/>
          <w:sz w:val="32"/>
          <w:szCs w:val="32"/>
        </w:rPr>
      </w:pPr>
      <w:r>
        <w:rPr>
          <w:rFonts w:hint="eastAsia" w:ascii="仿宋" w:hAnsi="仿宋" w:eastAsia="仿宋" w:cs="仿宋"/>
          <w:sz w:val="32"/>
          <w:szCs w:val="32"/>
        </w:rPr>
        <w:t>（四）新建公园绿地建设分散式消纳和集中式调蓄相结合的低影响开发设施，现有绿地系统按照海绵城市建设要求合理提升改造，消纳雨水并为蓄滞周边区域雨水提供空间；</w:t>
      </w:r>
    </w:p>
    <w:p>
      <w:pPr>
        <w:ind w:firstLine="640" w:firstLineChars="200"/>
        <w:rPr>
          <w:rFonts w:ascii="仿宋" w:hAnsi="仿宋" w:eastAsia="仿宋" w:cs="仿宋"/>
          <w:sz w:val="32"/>
          <w:szCs w:val="32"/>
        </w:rPr>
      </w:pPr>
      <w:r>
        <w:rPr>
          <w:rFonts w:hint="eastAsia" w:ascii="仿宋" w:hAnsi="仿宋" w:eastAsia="仿宋" w:cs="仿宋"/>
          <w:sz w:val="32"/>
          <w:szCs w:val="32"/>
        </w:rPr>
        <w:t>（五）城市河湖、湿地、坑塘、沟渠等水生态敏感区整治应当注重恢复和保护水系自然连通。禁止填湖造地、截弯取直、河道硬化等破坏水生态环境的建设行为。</w:t>
      </w:r>
    </w:p>
    <w:p>
      <w:pPr>
        <w:spacing w:line="360" w:lineRule="auto"/>
        <w:ind w:firstLine="640" w:firstLineChars="200"/>
        <w:rPr>
          <w:rFonts w:ascii="仿宋" w:hAnsi="仿宋" w:eastAsia="仿宋" w:cs="仿宋"/>
          <w:sz w:val="32"/>
          <w:szCs w:val="32"/>
        </w:rPr>
      </w:pPr>
      <w:r>
        <w:rPr>
          <w:rFonts w:hint="eastAsia" w:ascii="黑体" w:hAnsi="黑体" w:eastAsia="黑体" w:cs="黑体"/>
          <w:sz w:val="32"/>
          <w:szCs w:val="32"/>
        </w:rPr>
        <w:t>第十四条 【旧城改造项目海绵建设要求】</w:t>
      </w:r>
      <w:r>
        <w:rPr>
          <w:rFonts w:hint="eastAsia" w:ascii="仿宋" w:hAnsi="仿宋" w:eastAsia="仿宋" w:cs="仿宋"/>
          <w:sz w:val="32"/>
          <w:szCs w:val="32"/>
        </w:rPr>
        <w:t>市、县（市、区）人民政府应当按照海绵城市建设规划、年度计划和相关技术标准要求，对老旧城区分期分批进行改造。老旧城区雨污分流、黑臭水体以及易积易涝点治理、绿化硬化综合整治、停车场建设等工程应当同步进行海绵城市设计与建设。</w:t>
      </w:r>
    </w:p>
    <w:p>
      <w:pPr>
        <w:ind w:firstLine="640" w:firstLineChars="200"/>
        <w:rPr>
          <w:rFonts w:ascii="仿宋" w:hAnsi="仿宋" w:eastAsia="仿宋" w:cs="Times New Roman"/>
          <w:sz w:val="32"/>
          <w:szCs w:val="32"/>
        </w:rPr>
      </w:pPr>
      <w:r>
        <w:rPr>
          <w:rFonts w:hint="eastAsia" w:ascii="黑体" w:hAnsi="黑体" w:eastAsia="黑体" w:cs="Times New Roman"/>
          <w:sz w:val="32"/>
          <w:szCs w:val="32"/>
        </w:rPr>
        <w:t>第十五条【豁免项目】</w:t>
      </w:r>
      <w:r>
        <w:rPr>
          <w:rFonts w:hint="eastAsia" w:ascii="仿宋" w:hAnsi="仿宋" w:eastAsia="仿宋" w:cs="Times New Roman"/>
          <w:sz w:val="32"/>
          <w:szCs w:val="32"/>
        </w:rPr>
        <w:t xml:space="preserve"> 位于地质灾害易发区、特殊污染源地区内的建设项目，以及桥梁、隧道、照明、文物保护、零星修缮、应急抢险、保密工程等类型建设项目可以在建设审批环节对其海绵城市建设管控指标不作要求，由建设单位因地制宜开展海绵城市建设，纳入海绵城市建设项目豁免清单。</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海绵城市建设项目豁免清单由市级各行业主管部门制定，经市人民政府住房和城乡建设主管部门统一报市政府同意后实施。</w:t>
      </w:r>
    </w:p>
    <w:p>
      <w:pPr>
        <w:spacing w:line="360" w:lineRule="auto"/>
        <w:ind w:firstLine="640" w:firstLineChars="200"/>
        <w:rPr>
          <w:rFonts w:ascii="仿宋" w:hAnsi="仿宋" w:eastAsia="仿宋" w:cs="仿宋"/>
          <w:sz w:val="32"/>
          <w:szCs w:val="32"/>
        </w:rPr>
      </w:pPr>
      <w:r>
        <w:rPr>
          <w:rFonts w:hint="eastAsia" w:ascii="黑体" w:hAnsi="黑体" w:eastAsia="黑体" w:cs="仿宋"/>
          <w:sz w:val="32"/>
          <w:szCs w:val="32"/>
        </w:rPr>
        <w:t>第十六条 【项目立项】</w:t>
      </w:r>
      <w:r>
        <w:rPr>
          <w:rFonts w:hint="eastAsia" w:ascii="仿宋" w:hAnsi="仿宋" w:eastAsia="仿宋" w:cs="仿宋"/>
          <w:sz w:val="32"/>
          <w:szCs w:val="32"/>
        </w:rPr>
        <w:t>建设单位在建设项目前期论证中应当按照海绵城市建设规划和相关技术标准要求，统筹考虑海绵设施建设。</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政府投资项目的建设单位应当在项目建议书和可行性研究报告中明确项目的海绵城市建设要求以及建设内容、技术措施、投资运行费用估算等具体实施方案。</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社会投资建设项目的建设单位应当在报建时向市、县（市、区）人民政府海绵城市建设管理主管部门提供海绵城市建设承诺书和海绵城市建设项目入库表。</w:t>
      </w:r>
    </w:p>
    <w:p>
      <w:pPr>
        <w:ind w:firstLine="640" w:firstLineChars="200"/>
        <w:rPr>
          <w:rFonts w:ascii="仿宋" w:hAnsi="仿宋" w:eastAsia="仿宋" w:cs="仿宋"/>
          <w:sz w:val="32"/>
          <w:szCs w:val="32"/>
        </w:rPr>
      </w:pPr>
      <w:r>
        <w:rPr>
          <w:rFonts w:hint="eastAsia" w:ascii="黑体" w:hAnsi="黑体" w:eastAsia="黑体" w:cs="黑体"/>
          <w:sz w:val="32"/>
          <w:szCs w:val="32"/>
        </w:rPr>
        <w:t>第十七条 【供地要求】</w:t>
      </w:r>
      <w:r>
        <w:rPr>
          <w:rFonts w:hint="eastAsia" w:ascii="仿宋" w:hAnsi="仿宋" w:eastAsia="仿宋" w:cs="仿宋"/>
          <w:sz w:val="32"/>
          <w:szCs w:val="32"/>
        </w:rPr>
        <w:t>市、县（市、区）人民政府规划和自然资源主管部门在供应城市建设用地时，应当依照控制性详细规划,将海绵城市建设主要指标纳入规划用地条件。</w:t>
      </w:r>
    </w:p>
    <w:p>
      <w:pPr>
        <w:ind w:firstLine="640" w:firstLineChars="200"/>
        <w:rPr>
          <w:rFonts w:ascii="仿宋" w:hAnsi="仿宋" w:eastAsia="仿宋" w:cs="仿宋"/>
          <w:sz w:val="32"/>
          <w:szCs w:val="32"/>
        </w:rPr>
      </w:pPr>
      <w:r>
        <w:rPr>
          <w:rFonts w:hint="eastAsia" w:ascii="仿宋" w:hAnsi="仿宋" w:eastAsia="仿宋" w:cs="仿宋"/>
          <w:sz w:val="32"/>
          <w:szCs w:val="32"/>
        </w:rPr>
        <w:t>对于不需办理选址、土地划拨或土地出让的改造提升类项目，应当明确海绵城市建设相关管控要求。</w:t>
      </w:r>
    </w:p>
    <w:p>
      <w:pPr>
        <w:ind w:firstLine="640" w:firstLineChars="200"/>
        <w:rPr>
          <w:rFonts w:ascii="仿宋" w:hAnsi="仿宋" w:eastAsia="仿宋" w:cs="仿宋"/>
          <w:sz w:val="32"/>
          <w:szCs w:val="32"/>
        </w:rPr>
      </w:pPr>
      <w:r>
        <w:rPr>
          <w:rFonts w:hint="eastAsia" w:ascii="黑体" w:hAnsi="黑体" w:eastAsia="黑体" w:cs="黑体"/>
          <w:sz w:val="32"/>
          <w:szCs w:val="32"/>
        </w:rPr>
        <w:t>第十八条 【设计要求】</w:t>
      </w:r>
      <w:r>
        <w:rPr>
          <w:rFonts w:hint="eastAsia" w:ascii="仿宋" w:hAnsi="仿宋" w:eastAsia="仿宋" w:cs="仿宋"/>
          <w:sz w:val="32"/>
          <w:szCs w:val="32"/>
        </w:rPr>
        <w:t>建设单位应当组织设计单位严格按照规划设计条件和海绵城市建设技术标准，在建设工程项目方案设计、初步设计以及施工图设计等文件中编制海绵城市设计方案专篇，明确海绵城市建设要求，并报市、县（市、区）人民政府海绵城市主管部门审查备案后实施。</w:t>
      </w:r>
    </w:p>
    <w:p>
      <w:pPr>
        <w:ind w:firstLine="640" w:firstLineChars="200"/>
        <w:rPr>
          <w:rFonts w:ascii="仿宋" w:hAnsi="仿宋" w:eastAsia="仿宋" w:cs="仿宋"/>
          <w:sz w:val="32"/>
          <w:szCs w:val="32"/>
        </w:rPr>
      </w:pPr>
      <w:r>
        <w:rPr>
          <w:rFonts w:hint="eastAsia" w:ascii="仿宋" w:hAnsi="仿宋" w:eastAsia="仿宋" w:cs="仿宋"/>
          <w:sz w:val="32"/>
          <w:szCs w:val="32"/>
        </w:rPr>
        <w:t>海绵城市设计审查不合格的，设计单位应当按照审查意见进行修改完善。</w:t>
      </w:r>
    </w:p>
    <w:p>
      <w:pPr>
        <w:ind w:firstLine="640" w:firstLineChars="200"/>
        <w:rPr>
          <w:rFonts w:ascii="仿宋" w:hAnsi="仿宋" w:eastAsia="仿宋" w:cs="仿宋"/>
          <w:sz w:val="32"/>
          <w:szCs w:val="32"/>
        </w:rPr>
      </w:pPr>
      <w:r>
        <w:rPr>
          <w:rFonts w:hint="eastAsia" w:ascii="黑体" w:hAnsi="黑体" w:eastAsia="黑体" w:cs="仿宋"/>
          <w:sz w:val="32"/>
          <w:szCs w:val="32"/>
        </w:rPr>
        <w:t>第十九条【专家论证】</w:t>
      </w:r>
      <w:r>
        <w:rPr>
          <w:rFonts w:hint="eastAsia" w:ascii="仿宋" w:hAnsi="仿宋" w:eastAsia="仿宋" w:cs="仿宋"/>
          <w:sz w:val="32"/>
          <w:szCs w:val="32"/>
        </w:rPr>
        <w:t xml:space="preserve"> 下列建设工程项目的海绵城市设计方案应当进行专家论证并出具书面意见：</w:t>
      </w:r>
    </w:p>
    <w:p>
      <w:pPr>
        <w:ind w:firstLine="640" w:firstLineChars="200"/>
        <w:rPr>
          <w:rFonts w:ascii="仿宋" w:hAnsi="仿宋" w:eastAsia="仿宋" w:cs="仿宋"/>
          <w:sz w:val="32"/>
          <w:szCs w:val="32"/>
        </w:rPr>
      </w:pPr>
      <w:r>
        <w:rPr>
          <w:rFonts w:hint="eastAsia" w:ascii="仿宋" w:hAnsi="仿宋" w:eastAsia="仿宋" w:cs="仿宋"/>
          <w:sz w:val="32"/>
          <w:szCs w:val="32"/>
        </w:rPr>
        <w:t>（一）国家、省、市级重点建设工程项目；</w:t>
      </w:r>
    </w:p>
    <w:p>
      <w:pPr>
        <w:ind w:firstLine="640" w:firstLineChars="200"/>
        <w:rPr>
          <w:rFonts w:ascii="仿宋" w:hAnsi="仿宋" w:eastAsia="仿宋" w:cs="仿宋"/>
          <w:sz w:val="32"/>
          <w:szCs w:val="32"/>
        </w:rPr>
      </w:pPr>
      <w:r>
        <w:rPr>
          <w:rFonts w:hint="eastAsia" w:ascii="仿宋" w:hAnsi="仿宋" w:eastAsia="仿宋" w:cs="仿宋"/>
          <w:sz w:val="32"/>
          <w:szCs w:val="32"/>
        </w:rPr>
        <w:t>（二）在湿陷性黄土、煤矿采空区等地质结构复杂区域的建设工程项目；</w:t>
      </w:r>
    </w:p>
    <w:p>
      <w:pPr>
        <w:ind w:firstLine="640" w:firstLineChars="200"/>
        <w:rPr>
          <w:rFonts w:ascii="仿宋" w:hAnsi="仿宋" w:eastAsia="仿宋" w:cs="仿宋"/>
          <w:sz w:val="32"/>
          <w:szCs w:val="32"/>
        </w:rPr>
      </w:pPr>
      <w:r>
        <w:rPr>
          <w:rFonts w:hint="eastAsia" w:ascii="仿宋" w:hAnsi="仿宋" w:eastAsia="仿宋" w:cs="仿宋"/>
          <w:sz w:val="32"/>
          <w:szCs w:val="32"/>
        </w:rPr>
        <w:t>（三）对排水流域影响重大的河、湖、渠、公园、绿地或者占用、覆盖河、湖、渠、湿地的建设工程项目；</w:t>
      </w:r>
    </w:p>
    <w:p>
      <w:pPr>
        <w:ind w:firstLine="640" w:firstLineChars="200"/>
        <w:rPr>
          <w:rFonts w:ascii="仿宋" w:hAnsi="仿宋" w:eastAsia="仿宋" w:cs="仿宋"/>
          <w:sz w:val="32"/>
          <w:szCs w:val="32"/>
        </w:rPr>
      </w:pPr>
      <w:r>
        <w:rPr>
          <w:rFonts w:hint="eastAsia" w:ascii="仿宋" w:hAnsi="仿宋" w:eastAsia="仿宋" w:cs="仿宋"/>
          <w:sz w:val="32"/>
          <w:szCs w:val="32"/>
        </w:rPr>
        <w:t>（四）对原有自然生态、地形地貌影响较大的建设工程项目；</w:t>
      </w:r>
    </w:p>
    <w:p>
      <w:pPr>
        <w:ind w:firstLine="640" w:firstLineChars="200"/>
        <w:rPr>
          <w:rFonts w:ascii="仿宋" w:hAnsi="仿宋" w:eastAsia="仿宋" w:cs="仿宋"/>
          <w:sz w:val="32"/>
          <w:szCs w:val="32"/>
        </w:rPr>
      </w:pPr>
      <w:r>
        <w:rPr>
          <w:rFonts w:hint="eastAsia" w:ascii="仿宋" w:hAnsi="仿宋" w:eastAsia="仿宋" w:cs="仿宋"/>
          <w:sz w:val="32"/>
          <w:szCs w:val="32"/>
        </w:rPr>
        <w:t>（五）在重要地块占地面积超过3 公顷的建设工程项目。</w:t>
      </w:r>
    </w:p>
    <w:p>
      <w:pPr>
        <w:ind w:firstLine="640" w:firstLineChars="200"/>
        <w:rPr>
          <w:rFonts w:ascii="仿宋" w:hAnsi="仿宋" w:eastAsia="仿宋" w:cs="仿宋"/>
          <w:sz w:val="32"/>
          <w:szCs w:val="32"/>
        </w:rPr>
      </w:pPr>
      <w:r>
        <w:rPr>
          <w:rFonts w:hint="eastAsia" w:ascii="黑体" w:hAnsi="黑体" w:eastAsia="黑体" w:cs="黑体"/>
          <w:sz w:val="32"/>
          <w:szCs w:val="32"/>
        </w:rPr>
        <w:t>第二十条 【建设单位义务】</w:t>
      </w:r>
      <w:r>
        <w:rPr>
          <w:rFonts w:hint="eastAsia" w:ascii="仿宋" w:hAnsi="仿宋" w:eastAsia="仿宋" w:cs="仿宋"/>
          <w:sz w:val="32"/>
          <w:szCs w:val="32"/>
        </w:rPr>
        <w:t>建设单位应当按照承诺内容负责海绵设施建设，在设计、施工、监理等招标文件和合同中载明项目海绵化设施建设的具体内容、标准、技术规范，并组织设计、施工、监理等参与方予以全面落实。</w:t>
      </w:r>
    </w:p>
    <w:p>
      <w:pPr>
        <w:ind w:firstLine="640" w:firstLineChars="200"/>
        <w:rPr>
          <w:rFonts w:ascii="仿宋" w:hAnsi="仿宋" w:eastAsia="仿宋" w:cs="仿宋"/>
          <w:sz w:val="32"/>
          <w:szCs w:val="32"/>
        </w:rPr>
      </w:pPr>
      <w:r>
        <w:rPr>
          <w:rFonts w:hint="eastAsia" w:ascii="仿宋" w:hAnsi="仿宋" w:eastAsia="仿宋" w:cs="仿宋"/>
          <w:sz w:val="32"/>
          <w:szCs w:val="32"/>
        </w:rPr>
        <w:t>建设单位不得明示或者暗示设计、施工、监理、检测等单位违反本规定的相关要求。</w:t>
      </w:r>
    </w:p>
    <w:p>
      <w:pPr>
        <w:ind w:firstLine="640" w:firstLineChars="200"/>
        <w:rPr>
          <w:rFonts w:ascii="仿宋" w:hAnsi="仿宋" w:eastAsia="仿宋" w:cs="黑体"/>
          <w:sz w:val="32"/>
          <w:szCs w:val="32"/>
        </w:rPr>
      </w:pPr>
      <w:r>
        <w:rPr>
          <w:rFonts w:hint="eastAsia" w:ascii="黑体" w:hAnsi="黑体" w:eastAsia="黑体" w:cs="黑体"/>
          <w:sz w:val="32"/>
          <w:szCs w:val="32"/>
        </w:rPr>
        <w:t>第二十一条 【施工监理义务】</w:t>
      </w:r>
      <w:r>
        <w:rPr>
          <w:rFonts w:hint="eastAsia" w:ascii="仿宋" w:hAnsi="仿宋" w:eastAsia="仿宋" w:cs="黑体"/>
          <w:sz w:val="32"/>
          <w:szCs w:val="32"/>
        </w:rPr>
        <w:t>建设项目施工单位应当严格按图施工，执行相关技术规范和标准，在施工过程中不得擅自去除、降低或者削减设计图纸中海绵城市设施的具体功能、标准等内容。</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监理单位应当严格履行对建设项目海绵设施施工的监理职责。对海绵城市设施中的隐蔽工程，监理单位应当切实强化监理力度，确保项目按图施工。</w:t>
      </w:r>
    </w:p>
    <w:p>
      <w:pPr>
        <w:spacing w:line="360" w:lineRule="auto"/>
        <w:ind w:firstLine="640" w:firstLineChars="200"/>
        <w:rPr>
          <w:rFonts w:ascii="仿宋" w:hAnsi="仿宋" w:eastAsia="仿宋" w:cs="仿宋"/>
          <w:sz w:val="32"/>
          <w:szCs w:val="32"/>
        </w:rPr>
      </w:pPr>
      <w:r>
        <w:rPr>
          <w:rFonts w:hint="eastAsia" w:ascii="黑体" w:hAnsi="黑体" w:eastAsia="黑体" w:cs="黑体"/>
          <w:sz w:val="32"/>
          <w:szCs w:val="32"/>
        </w:rPr>
        <w:t>第二十二条 【建设管理】</w:t>
      </w:r>
      <w:r>
        <w:rPr>
          <w:rFonts w:hint="eastAsia" w:ascii="仿宋" w:hAnsi="仿宋" w:eastAsia="仿宋" w:cs="仿宋"/>
          <w:sz w:val="32"/>
          <w:szCs w:val="32"/>
        </w:rPr>
        <w:t>市、县（市、区）人民政府住房和城乡建设、城市管理、交通运输、水行政等行业主管部门应当按照各自职责范围将海绵城市建设纳入工程质量监督范围，加强地下管网、调蓄设施等隐蔽工程的质量检查和记录。</w:t>
      </w:r>
    </w:p>
    <w:p>
      <w:pPr>
        <w:ind w:firstLine="640" w:firstLineChars="200"/>
        <w:rPr>
          <w:rFonts w:ascii="仿宋" w:hAnsi="仿宋" w:eastAsia="仿宋" w:cs="仿宋"/>
          <w:sz w:val="32"/>
          <w:szCs w:val="32"/>
        </w:rPr>
      </w:pPr>
      <w:r>
        <w:rPr>
          <w:rFonts w:hint="eastAsia" w:ascii="黑体" w:hAnsi="黑体" w:eastAsia="黑体" w:cs="黑体"/>
          <w:sz w:val="32"/>
          <w:szCs w:val="32"/>
          <w:shd w:val="clear" w:color="auto" w:fill="FFFFFF"/>
        </w:rPr>
        <w:t>第二十三条</w:t>
      </w:r>
      <w:r>
        <w:rPr>
          <w:rFonts w:hint="eastAsia" w:ascii="仿宋" w:hAnsi="仿宋" w:eastAsia="仿宋" w:cs="黑体"/>
          <w:sz w:val="32"/>
          <w:szCs w:val="32"/>
        </w:rPr>
        <w:t xml:space="preserve"> </w:t>
      </w:r>
      <w:r>
        <w:rPr>
          <w:rFonts w:hint="eastAsia" w:ascii="黑体" w:hAnsi="黑体" w:eastAsia="黑体" w:cs="黑体"/>
          <w:sz w:val="32"/>
          <w:szCs w:val="32"/>
          <w:shd w:val="clear" w:color="auto" w:fill="FFFFFF"/>
        </w:rPr>
        <w:t>【验收归档】</w:t>
      </w:r>
      <w:r>
        <w:rPr>
          <w:rFonts w:hint="eastAsia" w:ascii="仿宋" w:hAnsi="仿宋" w:eastAsia="仿宋" w:cs="黑体"/>
          <w:sz w:val="32"/>
          <w:szCs w:val="32"/>
        </w:rPr>
        <w:t>海绵城</w:t>
      </w:r>
      <w:r>
        <w:rPr>
          <w:rFonts w:hint="eastAsia" w:ascii="仿宋" w:hAnsi="仿宋" w:eastAsia="仿宋" w:cs="仿宋"/>
          <w:sz w:val="32"/>
          <w:szCs w:val="32"/>
        </w:rPr>
        <w:t>市建设项目完成后，建设单位应当组织对海绵城市建设项目进行专项验收，并在验收报告中载明海绵城市建设相关技术规范和标准的落实情况。海绵城市专项验收合格的，可以申请主管部门进行建设工程竣工验收。</w:t>
      </w:r>
      <w:r>
        <w:rPr>
          <w:rFonts w:ascii="仿宋" w:hAnsi="仿宋" w:eastAsia="仿宋" w:cs="仿宋"/>
          <w:sz w:val="32"/>
          <w:szCs w:val="32"/>
        </w:rPr>
        <w:t>竣工验收</w:t>
      </w:r>
      <w:r>
        <w:rPr>
          <w:rFonts w:hint="eastAsia" w:ascii="仿宋" w:hAnsi="仿宋" w:eastAsia="仿宋" w:cs="仿宋"/>
          <w:sz w:val="32"/>
          <w:szCs w:val="32"/>
        </w:rPr>
        <w:t>中</w:t>
      </w:r>
      <w:r>
        <w:rPr>
          <w:rFonts w:ascii="仿宋" w:hAnsi="仿宋" w:eastAsia="仿宋" w:cs="仿宋"/>
          <w:sz w:val="32"/>
          <w:szCs w:val="32"/>
        </w:rPr>
        <w:t>，</w:t>
      </w:r>
      <w:r>
        <w:rPr>
          <w:rFonts w:hint="eastAsia" w:ascii="仿宋" w:hAnsi="仿宋" w:eastAsia="仿宋" w:cs="仿宋"/>
          <w:sz w:val="32"/>
          <w:szCs w:val="32"/>
        </w:rPr>
        <w:t>应当</w:t>
      </w:r>
      <w:r>
        <w:rPr>
          <w:rFonts w:ascii="仿宋" w:hAnsi="仿宋" w:eastAsia="仿宋" w:cs="仿宋"/>
          <w:sz w:val="32"/>
          <w:szCs w:val="32"/>
        </w:rPr>
        <w:t>将海绵城市建设相关强制性标准作为重点审查内容。</w:t>
      </w:r>
    </w:p>
    <w:p>
      <w:pPr>
        <w:ind w:firstLine="640" w:firstLineChars="200"/>
        <w:rPr>
          <w:rFonts w:cs="Times New Roman"/>
          <w:sz w:val="32"/>
          <w:szCs w:val="32"/>
        </w:rPr>
      </w:pPr>
      <w:r>
        <w:rPr>
          <w:rFonts w:hint="eastAsia" w:ascii="仿宋" w:hAnsi="仿宋" w:eastAsia="仿宋" w:cs="仿宋"/>
          <w:sz w:val="32"/>
          <w:szCs w:val="32"/>
        </w:rPr>
        <w:t>海绵城市建设主管部门应当参加老旧城区改造工程和河、湖、渠、公园、绿地等建设工程项目中有关海绵城市建设的竣工验收，并出具意见。</w:t>
      </w:r>
    </w:p>
    <w:p>
      <w:pPr>
        <w:ind w:firstLine="640" w:firstLineChars="200"/>
        <w:rPr>
          <w:rFonts w:ascii="仿宋" w:hAnsi="仿宋" w:eastAsia="仿宋" w:cs="仿宋"/>
          <w:sz w:val="32"/>
          <w:szCs w:val="32"/>
        </w:rPr>
      </w:pPr>
      <w:r>
        <w:rPr>
          <w:rFonts w:hint="eastAsia" w:ascii="仿宋" w:hAnsi="仿宋" w:eastAsia="仿宋" w:cs="仿宋"/>
          <w:sz w:val="32"/>
          <w:szCs w:val="32"/>
        </w:rPr>
        <w:t>竣工验收合格后，海绵城市建设项目随主体工程同步移交相关单位，竣工验收报告和有关文件报工程所在地住房和城乡建设主管部门和城市管理主管部门备案，同时应当将有关文件和技术资料向海绵设施权属单位、海绵设施管护单位归档。</w:t>
      </w:r>
    </w:p>
    <w:p>
      <w:pPr>
        <w:ind w:firstLine="640" w:firstLineChars="200"/>
        <w:rPr>
          <w:rFonts w:ascii="仿宋" w:hAnsi="仿宋" w:eastAsia="仿宋" w:cs="仿宋"/>
          <w:sz w:val="32"/>
          <w:szCs w:val="32"/>
        </w:rPr>
      </w:pPr>
      <w:r>
        <w:rPr>
          <w:rFonts w:hint="eastAsia" w:ascii="仿宋" w:hAnsi="仿宋" w:eastAsia="仿宋" w:cs="仿宋"/>
          <w:sz w:val="32"/>
          <w:szCs w:val="32"/>
        </w:rPr>
        <w:t>海绵城市建设项目未经验收或者验收不合格的，不得交付使用。</w:t>
      </w:r>
    </w:p>
    <w:p>
      <w:pPr>
        <w:ind w:firstLine="640" w:firstLineChars="200"/>
        <w:rPr>
          <w:rFonts w:ascii="仿宋" w:hAnsi="仿宋" w:eastAsia="仿宋" w:cs="仿宋"/>
          <w:sz w:val="32"/>
          <w:szCs w:val="32"/>
        </w:rPr>
      </w:pPr>
    </w:p>
    <w:p>
      <w:pPr>
        <w:ind w:firstLine="640" w:firstLineChars="200"/>
        <w:jc w:val="center"/>
        <w:rPr>
          <w:rFonts w:ascii="黑体" w:hAnsi="黑体" w:eastAsia="黑体" w:cs="黑体"/>
          <w:sz w:val="32"/>
          <w:szCs w:val="32"/>
        </w:rPr>
      </w:pPr>
      <w:r>
        <w:rPr>
          <w:rFonts w:hint="eastAsia" w:ascii="黑体" w:hAnsi="黑体" w:eastAsia="黑体" w:cs="黑体"/>
          <w:sz w:val="32"/>
          <w:szCs w:val="32"/>
        </w:rPr>
        <w:t>第三章 运行和维护</w:t>
      </w:r>
    </w:p>
    <w:p>
      <w:pPr>
        <w:ind w:firstLine="640" w:firstLineChars="200"/>
        <w:jc w:val="center"/>
        <w:rPr>
          <w:rFonts w:ascii="黑体" w:hAnsi="黑体" w:eastAsia="黑体" w:cs="黑体"/>
          <w:sz w:val="32"/>
          <w:szCs w:val="32"/>
        </w:rPr>
      </w:pPr>
    </w:p>
    <w:p>
      <w:pPr>
        <w:spacing w:line="360" w:lineRule="auto"/>
        <w:ind w:firstLine="640" w:firstLineChars="200"/>
        <w:rPr>
          <w:rFonts w:ascii="仿宋" w:hAnsi="仿宋" w:eastAsia="仿宋" w:cs="仿宋"/>
          <w:sz w:val="32"/>
          <w:szCs w:val="32"/>
        </w:rPr>
      </w:pPr>
      <w:r>
        <w:rPr>
          <w:rFonts w:hint="eastAsia" w:ascii="黑体" w:hAnsi="黑体" w:eastAsia="黑体" w:cs="黑体"/>
          <w:sz w:val="32"/>
          <w:szCs w:val="32"/>
        </w:rPr>
        <w:t>第二十四条 【运维主体】</w:t>
      </w:r>
      <w:r>
        <w:rPr>
          <w:rFonts w:hint="eastAsia" w:ascii="仿宋" w:hAnsi="仿宋" w:eastAsia="仿宋" w:cs="仿宋"/>
          <w:sz w:val="32"/>
          <w:szCs w:val="32"/>
        </w:rPr>
        <w:t>市政类海绵城市设施由市、县（市、区）人民政府城市管理主管部门负责运行维护，或者通过政府购买服务等方式由符合条件的单位依照约定运行维护。</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公共建筑、住宅小区、工业项目等的海绵城市设施，由所有权人或者委托的物业服务单位负责运行维护。</w:t>
      </w:r>
    </w:p>
    <w:p>
      <w:pPr>
        <w:widowControl/>
        <w:ind w:firstLine="640" w:firstLineChars="200"/>
        <w:jc w:val="left"/>
        <w:rPr>
          <w:rFonts w:ascii="黑体" w:hAnsi="黑体" w:eastAsia="黑体" w:cs="黑体"/>
          <w:sz w:val="32"/>
          <w:szCs w:val="32"/>
        </w:rPr>
      </w:pPr>
      <w:r>
        <w:rPr>
          <w:rFonts w:hint="eastAsia" w:ascii="黑体" w:hAnsi="黑体" w:eastAsia="黑体" w:cs="黑体"/>
          <w:sz w:val="32"/>
          <w:szCs w:val="32"/>
        </w:rPr>
        <w:t>第二十五条 【运维要求】</w:t>
      </w:r>
      <w:r>
        <w:rPr>
          <w:rFonts w:hint="eastAsia" w:ascii="仿宋" w:hAnsi="仿宋" w:eastAsia="仿宋" w:cs="仿宋"/>
          <w:sz w:val="32"/>
          <w:szCs w:val="32"/>
        </w:rPr>
        <w:t>运行维护单位应当建立海绵城市设施维护制度和操作规程，配备专人管理，开展定期巡查、养护、维修和监测，加强日常维护，建立运行维护台账，保障海绵城市设施正常运行。</w:t>
      </w:r>
    </w:p>
    <w:p>
      <w:pPr>
        <w:ind w:firstLine="640" w:firstLineChars="200"/>
        <w:rPr>
          <w:rFonts w:ascii="仿宋" w:hAnsi="仿宋" w:eastAsia="仿宋" w:cs="Times New Roman"/>
          <w:sz w:val="32"/>
          <w:szCs w:val="32"/>
        </w:rPr>
      </w:pPr>
      <w:r>
        <w:rPr>
          <w:rFonts w:hint="eastAsia" w:ascii="黑体" w:hAnsi="黑体" w:eastAsia="黑体" w:cs="黑体"/>
          <w:sz w:val="32"/>
          <w:szCs w:val="32"/>
        </w:rPr>
        <w:t>第二十六条【应急措施】</w:t>
      </w:r>
      <w:r>
        <w:rPr>
          <w:rFonts w:hint="eastAsia" w:ascii="仿宋" w:hAnsi="仿宋" w:eastAsia="仿宋" w:cs="黑体"/>
          <w:sz w:val="32"/>
          <w:szCs w:val="32"/>
        </w:rPr>
        <w:t>运行维护单位应当在</w:t>
      </w:r>
      <w:r>
        <w:rPr>
          <w:rFonts w:hint="eastAsia" w:ascii="仿宋" w:hAnsi="仿宋" w:eastAsia="仿宋" w:cs="Times New Roman"/>
          <w:sz w:val="32"/>
          <w:szCs w:val="32"/>
        </w:rPr>
        <w:t>城市雨水行泄通道、易发生内涝的路段、下沉式立交桥、城市绿地中湿塘、雨水湿地等设置海绵城市设施的区域，设置必要的警示标识，建立预警系统，采取应急处置措施。</w:t>
      </w:r>
    </w:p>
    <w:p>
      <w:pPr>
        <w:spacing w:line="360" w:lineRule="auto"/>
        <w:ind w:firstLine="640" w:firstLineChars="200"/>
        <w:rPr>
          <w:rFonts w:ascii="仿宋" w:hAnsi="仿宋" w:eastAsia="仿宋" w:cs="Times New Roman"/>
          <w:sz w:val="32"/>
          <w:szCs w:val="32"/>
        </w:rPr>
      </w:pPr>
      <w:r>
        <w:rPr>
          <w:rFonts w:hint="eastAsia" w:ascii="黑体" w:hAnsi="黑体" w:eastAsia="黑体" w:cs="黑体"/>
          <w:sz w:val="32"/>
          <w:szCs w:val="32"/>
        </w:rPr>
        <w:t>第二十七条 【运维考核】</w:t>
      </w:r>
      <w:r>
        <w:rPr>
          <w:rFonts w:hint="eastAsia" w:ascii="仿宋" w:hAnsi="仿宋" w:eastAsia="仿宋" w:cs="Times New Roman"/>
          <w:sz w:val="32"/>
          <w:szCs w:val="32"/>
        </w:rPr>
        <w:t>市、县（市、区）人民政府城市管理主管部门应当建立海绵城市设施运行维护管理制度，对海绵城市的运行和维护进行管理、监测、评估和考核。</w:t>
      </w:r>
    </w:p>
    <w:p>
      <w:pPr>
        <w:spacing w:line="360" w:lineRule="auto"/>
        <w:ind w:firstLine="640" w:firstLineChars="200"/>
        <w:rPr>
          <w:rFonts w:ascii="仿宋" w:hAnsi="仿宋" w:eastAsia="仿宋" w:cs="Times New Roman"/>
          <w:sz w:val="32"/>
          <w:szCs w:val="32"/>
        </w:rPr>
      </w:pPr>
      <w:r>
        <w:rPr>
          <w:rFonts w:hint="eastAsia" w:ascii="黑体" w:hAnsi="黑体" w:eastAsia="黑体" w:cs="Times New Roman"/>
          <w:sz w:val="32"/>
          <w:szCs w:val="32"/>
        </w:rPr>
        <w:t xml:space="preserve">第二十八条 </w:t>
      </w:r>
      <w:r>
        <w:rPr>
          <w:rFonts w:hint="eastAsia" w:ascii="黑体" w:hAnsi="黑体" w:eastAsia="黑体" w:cs="黑体"/>
          <w:sz w:val="32"/>
          <w:szCs w:val="32"/>
        </w:rPr>
        <w:t>【信息共享】</w:t>
      </w:r>
      <w:r>
        <w:rPr>
          <w:rFonts w:hint="eastAsia" w:ascii="仿宋" w:hAnsi="仿宋" w:eastAsia="仿宋" w:cs="Times New Roman"/>
          <w:sz w:val="32"/>
          <w:szCs w:val="32"/>
        </w:rPr>
        <w:t>市、县（市、区）人民政府城市管理部门会同规划和自然资源、住房和城乡建设、行政审批等相关部门建立海绵城市建设和运行信息共享制度，将海绵城市数据和信息纳入晋中市数字化城市管理系统。</w:t>
      </w:r>
    </w:p>
    <w:p>
      <w:pPr>
        <w:spacing w:line="360" w:lineRule="auto"/>
        <w:ind w:firstLine="640" w:firstLineChars="200"/>
        <w:rPr>
          <w:rFonts w:ascii="仿宋" w:hAnsi="仿宋" w:eastAsia="仿宋" w:cs="Times New Roman"/>
          <w:sz w:val="32"/>
          <w:szCs w:val="32"/>
        </w:rPr>
      </w:pPr>
      <w:r>
        <w:rPr>
          <w:rFonts w:hint="eastAsia" w:ascii="黑体" w:hAnsi="黑体" w:eastAsia="黑体" w:cs="黑体"/>
          <w:sz w:val="32"/>
          <w:szCs w:val="32"/>
        </w:rPr>
        <w:t>第二十九条 【禁限行为】</w:t>
      </w:r>
      <w:r>
        <w:rPr>
          <w:rFonts w:hint="eastAsia" w:ascii="仿宋" w:hAnsi="仿宋" w:eastAsia="仿宋" w:cs="Times New Roman"/>
          <w:sz w:val="32"/>
          <w:szCs w:val="32"/>
        </w:rPr>
        <w:t>任何单位和个人不得侵占、损毁、擅自移动海绵城市设施及配套监测设施。</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新建、改建、扩建建设工程应当避开海绵城市设施及配套监测设施；因工程建设等确需挖掘、拆除、改动、占用海绵城市设施的，应当报经相关行业主管部门审批，并由建设单位承担恢复和改建费用。</w:t>
      </w:r>
    </w:p>
    <w:p>
      <w:pPr>
        <w:ind w:firstLine="640" w:firstLineChars="200"/>
        <w:rPr>
          <w:rFonts w:ascii="仿宋" w:hAnsi="仿宋" w:eastAsia="仿宋" w:cs="Times New Roman"/>
          <w:sz w:val="32"/>
          <w:szCs w:val="32"/>
        </w:rPr>
      </w:pPr>
    </w:p>
    <w:p>
      <w:pPr>
        <w:ind w:firstLine="640" w:firstLineChars="200"/>
        <w:jc w:val="center"/>
        <w:rPr>
          <w:rFonts w:ascii="黑体" w:hAnsi="黑体" w:eastAsia="黑体" w:cs="仿宋_GB2312"/>
          <w:sz w:val="32"/>
          <w:szCs w:val="32"/>
        </w:rPr>
      </w:pPr>
      <w:r>
        <w:rPr>
          <w:rFonts w:hint="eastAsia" w:ascii="黑体" w:hAnsi="黑体" w:eastAsia="黑体"/>
          <w:sz w:val="32"/>
          <w:szCs w:val="32"/>
        </w:rPr>
        <w:t xml:space="preserve">第四章 </w:t>
      </w:r>
      <w:r>
        <w:rPr>
          <w:rFonts w:hint="eastAsia" w:ascii="黑体" w:hAnsi="黑体" w:eastAsia="黑体" w:cs="仿宋_GB2312"/>
          <w:sz w:val="32"/>
          <w:szCs w:val="32"/>
        </w:rPr>
        <w:t>法律责任</w:t>
      </w:r>
    </w:p>
    <w:p>
      <w:pPr>
        <w:spacing w:after="120" w:line="360" w:lineRule="auto"/>
        <w:ind w:firstLine="210" w:firstLineChars="100"/>
        <w:rPr>
          <w:rFonts w:ascii="仿宋" w:hAnsi="仿宋" w:eastAsia="仿宋" w:cs="Times New Roman"/>
          <w:szCs w:val="24"/>
        </w:rPr>
      </w:pPr>
    </w:p>
    <w:p>
      <w:pPr>
        <w:spacing w:line="360" w:lineRule="auto"/>
        <w:ind w:firstLine="640" w:firstLineChars="200"/>
        <w:rPr>
          <w:rFonts w:ascii="仿宋" w:hAnsi="仿宋" w:eastAsia="仿宋" w:cs="仿宋"/>
          <w:sz w:val="32"/>
          <w:szCs w:val="32"/>
        </w:rPr>
      </w:pPr>
      <w:r>
        <w:rPr>
          <w:rFonts w:hint="eastAsia" w:ascii="黑体" w:hAnsi="黑体" w:eastAsia="黑体" w:cs="黑体"/>
          <w:sz w:val="32"/>
          <w:szCs w:val="32"/>
        </w:rPr>
        <w:t>第三十条 【援引条款】</w:t>
      </w:r>
      <w:r>
        <w:rPr>
          <w:rFonts w:hint="eastAsia" w:ascii="仿宋" w:hAnsi="仿宋" w:eastAsia="仿宋" w:cs="仿宋"/>
          <w:sz w:val="32"/>
          <w:szCs w:val="32"/>
        </w:rPr>
        <w:t>违反本条例规定，法律、行政法规以及山西省人民代表大会及其常务委员会通过的地方性法规已有法律责任规定的，从其规定。</w:t>
      </w:r>
    </w:p>
    <w:p>
      <w:pPr>
        <w:spacing w:line="360" w:lineRule="auto"/>
        <w:ind w:firstLine="640" w:firstLineChars="200"/>
        <w:rPr>
          <w:rFonts w:ascii="仿宋" w:hAnsi="仿宋" w:eastAsia="仿宋" w:cs="仿宋"/>
          <w:sz w:val="32"/>
          <w:szCs w:val="32"/>
        </w:rPr>
      </w:pPr>
      <w:r>
        <w:rPr>
          <w:rFonts w:hint="eastAsia" w:ascii="黑体" w:hAnsi="黑体" w:eastAsia="黑体" w:cs="黑体"/>
          <w:sz w:val="32"/>
          <w:szCs w:val="32"/>
        </w:rPr>
        <w:t>第三十一条 【填湖造地的法律责任】</w:t>
      </w:r>
      <w:r>
        <w:rPr>
          <w:rFonts w:hint="eastAsia" w:ascii="仿宋" w:hAnsi="仿宋" w:eastAsia="仿宋" w:cs="仿宋"/>
          <w:sz w:val="32"/>
          <w:szCs w:val="32"/>
        </w:rPr>
        <w:t>违反本条例第十三条第四项规定，填湖造地破坏水生态环境的，由市、县（市、区）人民政府水行政主管部门责令停止违法行为，恢复原状或者采取其他补救措施，可以处五万元以下的罚款。</w:t>
      </w:r>
    </w:p>
    <w:p>
      <w:pPr>
        <w:spacing w:line="360" w:lineRule="auto"/>
        <w:ind w:firstLine="640" w:firstLineChars="200"/>
        <w:rPr>
          <w:rFonts w:ascii="仿宋" w:hAnsi="仿宋" w:eastAsia="仿宋" w:cs="仿宋"/>
          <w:sz w:val="32"/>
          <w:szCs w:val="32"/>
        </w:rPr>
      </w:pPr>
      <w:r>
        <w:rPr>
          <w:rFonts w:hint="eastAsia" w:ascii="黑体" w:hAnsi="黑体" w:eastAsia="黑体" w:cs="仿宋"/>
          <w:sz w:val="32"/>
          <w:szCs w:val="32"/>
        </w:rPr>
        <w:t>第三十二条【建设单位法律责任】</w:t>
      </w:r>
      <w:r>
        <w:rPr>
          <w:rFonts w:hint="eastAsia" w:ascii="仿宋" w:hAnsi="仿宋" w:eastAsia="仿宋" w:cs="仿宋"/>
          <w:sz w:val="32"/>
          <w:szCs w:val="32"/>
        </w:rPr>
        <w:t xml:space="preserve">建设单位违反本条例第十一条和第二十条第二款规定，有下列行为之一的，由住房和城乡建设、交通运输、水行政、市场监督、城市管理等主管部门依照各自职权责令限期改正，并处以二十万元以上五十万元以下罚款： </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（一）新建、改建、扩建建设项目未按要求同步开展海绵城市设计、建设的；</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（二）明示或者暗示设计、施工、监理、检测单位违反海绵化建设标准、规范，降低海绵城市建设管控指标或工程质量的。</w:t>
      </w:r>
    </w:p>
    <w:p>
      <w:pPr>
        <w:spacing w:line="360" w:lineRule="auto"/>
        <w:ind w:firstLine="640" w:firstLineChars="200"/>
        <w:rPr>
          <w:rFonts w:ascii="仿宋" w:hAnsi="仿宋" w:eastAsia="仿宋" w:cs="仿宋"/>
          <w:sz w:val="32"/>
          <w:szCs w:val="32"/>
        </w:rPr>
      </w:pPr>
      <w:r>
        <w:rPr>
          <w:rFonts w:hint="eastAsia" w:ascii="黑体" w:hAnsi="黑体" w:eastAsia="黑体" w:cs="黑体"/>
          <w:sz w:val="32"/>
          <w:szCs w:val="32"/>
        </w:rPr>
        <w:t>第三十三条 【施工单位未按图施工法律责任】</w:t>
      </w:r>
      <w:r>
        <w:rPr>
          <w:rFonts w:hint="eastAsia" w:ascii="仿宋" w:hAnsi="仿宋" w:eastAsia="仿宋" w:cs="仿宋"/>
          <w:sz w:val="32"/>
          <w:szCs w:val="32"/>
        </w:rPr>
        <w:t>违反本条例第二十一条第一款规定，施工单位未严格按照海绵城市工程设计图纸和相关施工规定、标准施工，擅自变更海绵化设施的，由依法负责该建设项目工程质量安全监管的住房和城乡建设、交通运输、水行政等行业主管部门责令限期改正，处工程合同价款百分之二以上百分之四以下的罚款；情节严重的，由颁发资质证书的部门依法责令停业整顿、降低资质等级或者吊销资质证书。</w:t>
      </w:r>
    </w:p>
    <w:p>
      <w:pPr>
        <w:spacing w:line="360" w:lineRule="auto"/>
        <w:ind w:firstLine="640" w:firstLineChars="200"/>
        <w:rPr>
          <w:rFonts w:ascii="仿宋" w:hAnsi="仿宋" w:eastAsia="仿宋" w:cs="仿宋"/>
          <w:sz w:val="32"/>
          <w:szCs w:val="32"/>
        </w:rPr>
      </w:pPr>
      <w:r>
        <w:rPr>
          <w:rFonts w:hint="eastAsia" w:ascii="黑体" w:hAnsi="黑体" w:eastAsia="黑体" w:cs="黑体"/>
          <w:sz w:val="32"/>
          <w:szCs w:val="32"/>
        </w:rPr>
        <w:t>第三十四条 【未将海绵城市建设项目竣工验收报告报送备案的法律责任】</w:t>
      </w:r>
      <w:r>
        <w:rPr>
          <w:rFonts w:hint="eastAsia" w:ascii="仿宋" w:hAnsi="仿宋" w:eastAsia="仿宋" w:cs="仿宋"/>
          <w:sz w:val="32"/>
          <w:szCs w:val="32"/>
        </w:rPr>
        <w:t>违反本条例第二十三条第三款规定，未将海绵城市建设项目竣工验收报告报送备案的，由市、县（市、区）人民政府城市管理综合执法部门责令改正，处二十万元以上五十万元以下的罚款。</w:t>
      </w:r>
    </w:p>
    <w:p>
      <w:pPr>
        <w:spacing w:line="360" w:lineRule="auto"/>
        <w:ind w:firstLine="640" w:firstLineChars="200"/>
        <w:rPr>
          <w:rFonts w:ascii="仿宋" w:hAnsi="仿宋" w:eastAsia="仿宋" w:cs="仿宋"/>
          <w:sz w:val="32"/>
          <w:szCs w:val="32"/>
        </w:rPr>
      </w:pPr>
      <w:r>
        <w:rPr>
          <w:rFonts w:hint="eastAsia" w:ascii="黑体" w:hAnsi="黑体" w:eastAsia="黑体" w:cs="黑体"/>
          <w:sz w:val="32"/>
          <w:szCs w:val="32"/>
        </w:rPr>
        <w:t>第三十五条 【海绵城市建设项目未经验收或者验收不合格而擅自交付使用的法律责任】</w:t>
      </w:r>
      <w:r>
        <w:rPr>
          <w:rFonts w:hint="eastAsia" w:ascii="仿宋" w:hAnsi="仿宋" w:eastAsia="仿宋" w:cs="仿宋"/>
          <w:sz w:val="32"/>
          <w:szCs w:val="32"/>
        </w:rPr>
        <w:t>违反本条例第二十三条第四款规定，海绵城市建设项目未经验收或者验收不合格而擅自交付使用的，由市、县（市、区）人民政府城市管理综合执法部门责令改正，处工程合同价款百分之二以上百分之四以下的罚款；造成损失的，依法承担赔偿责任。</w:t>
      </w:r>
    </w:p>
    <w:p>
      <w:pPr>
        <w:spacing w:line="360" w:lineRule="auto"/>
        <w:ind w:firstLine="640" w:firstLineChars="200"/>
        <w:rPr>
          <w:rFonts w:ascii="仿宋" w:hAnsi="仿宋" w:eastAsia="仿宋" w:cs="仿宋"/>
          <w:sz w:val="32"/>
          <w:szCs w:val="32"/>
        </w:rPr>
      </w:pPr>
      <w:r>
        <w:rPr>
          <w:rFonts w:hint="eastAsia" w:ascii="黑体" w:hAnsi="黑体" w:eastAsia="黑体" w:cs="黑体"/>
          <w:sz w:val="32"/>
          <w:szCs w:val="32"/>
        </w:rPr>
        <w:t>第三十六条 【拆除、迁改市政排水设施中海绵城市设施</w:t>
      </w:r>
      <w:bookmarkStart w:id="1" w:name="_Hlk100051873"/>
      <w:r>
        <w:rPr>
          <w:rFonts w:hint="eastAsia" w:ascii="黑体" w:hAnsi="黑体" w:eastAsia="黑体" w:cs="黑体"/>
          <w:sz w:val="32"/>
          <w:szCs w:val="32"/>
        </w:rPr>
        <w:t>法律责任</w:t>
      </w:r>
      <w:bookmarkEnd w:id="1"/>
      <w:r>
        <w:rPr>
          <w:rFonts w:hint="eastAsia" w:ascii="黑体" w:hAnsi="黑体" w:eastAsia="黑体" w:cs="黑体"/>
          <w:sz w:val="32"/>
          <w:szCs w:val="32"/>
        </w:rPr>
        <w:t>】</w:t>
      </w:r>
      <w:r>
        <w:rPr>
          <w:rFonts w:hint="eastAsia" w:ascii="仿宋" w:hAnsi="仿宋" w:eastAsia="仿宋" w:cs="仿宋"/>
          <w:sz w:val="32"/>
          <w:szCs w:val="32"/>
        </w:rPr>
        <w:t>违反本条例第二十九条规定，擅自</w:t>
      </w:r>
      <w:bookmarkStart w:id="2" w:name="_Hlk100051830"/>
      <w:r>
        <w:rPr>
          <w:rFonts w:hint="eastAsia" w:ascii="仿宋" w:hAnsi="仿宋" w:eastAsia="仿宋" w:cs="仿宋"/>
          <w:sz w:val="32"/>
          <w:szCs w:val="32"/>
        </w:rPr>
        <w:t>拆除、迁改市政排水设施中海绵城市设施</w:t>
      </w:r>
      <w:bookmarkEnd w:id="2"/>
      <w:r>
        <w:rPr>
          <w:rFonts w:hint="eastAsia" w:ascii="仿宋" w:hAnsi="仿宋" w:eastAsia="仿宋" w:cs="仿宋"/>
          <w:sz w:val="32"/>
          <w:szCs w:val="32"/>
        </w:rPr>
        <w:t>的，由市、县（市、区）人民政府城市管理综合执法部门责令改正，恢复原状或者采取其他补救措施，处五万元以上十万元以下罚款；造成严重后果的，处十万元以上三十万元以下罚款；造成损失的，依法承担赔偿责任；构成犯罪的，依法追究刑事责任。</w:t>
      </w:r>
    </w:p>
    <w:p>
      <w:pPr>
        <w:spacing w:line="360" w:lineRule="auto"/>
        <w:ind w:firstLine="640" w:firstLineChars="200"/>
        <w:rPr>
          <w:rFonts w:ascii="仿宋" w:hAnsi="仿宋" w:eastAsia="仿宋" w:cs="仿宋"/>
          <w:sz w:val="32"/>
          <w:szCs w:val="32"/>
        </w:rPr>
      </w:pPr>
      <w:r>
        <w:rPr>
          <w:rFonts w:hint="eastAsia" w:ascii="黑体" w:hAnsi="黑体" w:eastAsia="黑体" w:cs="黑体"/>
          <w:sz w:val="32"/>
          <w:szCs w:val="32"/>
        </w:rPr>
        <w:t>第三十七条 【相关行政管理部门及其工作人员法律责任】</w:t>
      </w:r>
      <w:r>
        <w:rPr>
          <w:rFonts w:hint="eastAsia" w:ascii="仿宋" w:hAnsi="仿宋" w:eastAsia="仿宋" w:cs="仿宋"/>
          <w:sz w:val="32"/>
          <w:szCs w:val="32"/>
        </w:rPr>
        <w:t>违反本条例规定，市、县（市、区）人民政府城市管理主管部门以及其他有关部门的工作人员在海绵城市规划、建设、管理工作中玩忽职守、滥用职权、徇私舞弊的，依法给予处分；构成犯罪的，依法追究刑事责任。</w:t>
      </w:r>
    </w:p>
    <w:p>
      <w:pPr>
        <w:spacing w:after="120" w:line="360" w:lineRule="auto"/>
        <w:ind w:firstLine="210" w:firstLineChars="100"/>
        <w:rPr>
          <w:rFonts w:ascii="黑体" w:hAnsi="黑体" w:eastAsia="黑体" w:cs="Times New Roman"/>
          <w:szCs w:val="24"/>
        </w:rPr>
      </w:pPr>
    </w:p>
    <w:p>
      <w:pPr>
        <w:spacing w:line="360" w:lineRule="auto"/>
        <w:jc w:val="center"/>
        <w:rPr>
          <w:rFonts w:ascii="黑体" w:hAnsi="黑体" w:eastAsia="黑体" w:cs="仿宋_GB2312"/>
          <w:sz w:val="32"/>
          <w:szCs w:val="32"/>
        </w:rPr>
      </w:pPr>
      <w:r>
        <w:rPr>
          <w:rFonts w:hint="eastAsia" w:ascii="黑体" w:hAnsi="黑体" w:eastAsia="黑体" w:cs="仿宋_GB2312"/>
          <w:sz w:val="32"/>
          <w:szCs w:val="32"/>
        </w:rPr>
        <w:t>第六章 附 则</w:t>
      </w:r>
    </w:p>
    <w:p>
      <w:pPr>
        <w:spacing w:after="120" w:line="360" w:lineRule="auto"/>
        <w:ind w:firstLine="210" w:firstLineChars="100"/>
        <w:rPr>
          <w:rFonts w:ascii="仿宋" w:hAnsi="仿宋" w:eastAsia="仿宋" w:cs="Times New Roman"/>
          <w:szCs w:val="24"/>
        </w:rPr>
      </w:pPr>
    </w:p>
    <w:p>
      <w:pPr>
        <w:spacing w:line="360" w:lineRule="auto"/>
        <w:ind w:firstLine="640" w:firstLineChars="200"/>
        <w:rPr>
          <w:rFonts w:ascii="仿宋" w:hAnsi="仿宋" w:eastAsia="仿宋" w:cs="仿宋"/>
          <w:sz w:val="32"/>
          <w:szCs w:val="32"/>
        </w:rPr>
      </w:pPr>
      <w:r>
        <w:rPr>
          <w:rFonts w:hint="eastAsia" w:ascii="黑体" w:hAnsi="黑体" w:eastAsia="黑体" w:cs="黑体"/>
          <w:sz w:val="32"/>
          <w:szCs w:val="32"/>
        </w:rPr>
        <w:t>第三十八条 【施行时间】</w:t>
      </w:r>
      <w:r>
        <w:rPr>
          <w:rFonts w:hint="eastAsia" w:ascii="仿宋" w:hAnsi="仿宋" w:eastAsia="仿宋" w:cs="仿宋"/>
          <w:sz w:val="32"/>
          <w:szCs w:val="32"/>
        </w:rPr>
        <w:t>本条例自 年 月 日起施行。</w:t>
      </w:r>
    </w:p>
    <w:p>
      <w:pPr>
        <w:spacing w:line="360" w:lineRule="auto"/>
        <w:rPr>
          <w:rFonts w:ascii="仿宋" w:hAnsi="仿宋" w:eastAsia="仿宋" w:cs="仿宋"/>
          <w:sz w:val="32"/>
          <w:szCs w:val="32"/>
        </w:rPr>
      </w:pPr>
    </w:p>
    <w:p>
      <w:pPr>
        <w:spacing w:line="360" w:lineRule="auto"/>
        <w:ind w:firstLine="640" w:firstLineChars="200"/>
        <w:rPr>
          <w:rFonts w:ascii="仿宋" w:hAnsi="仿宋" w:eastAsia="仿宋" w:cs="仿宋_GB2312"/>
          <w:sz w:val="32"/>
          <w:szCs w:val="32"/>
        </w:rPr>
      </w:pPr>
    </w:p>
    <w:p>
      <w:pPr>
        <w:spacing w:after="120"/>
        <w:ind w:firstLine="210" w:firstLineChars="100"/>
        <w:rPr>
          <w:rFonts w:cs="Times New Roman"/>
        </w:rPr>
      </w:pPr>
    </w:p>
    <w:p>
      <w:pPr>
        <w:rPr>
          <w:rFonts w:ascii="仿宋" w:hAnsi="仿宋" w:eastAsia="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A3YjNjNThmZWQ0YTZiNDEzOGE4NjRkZDlmZTRlNDAifQ=="/>
  </w:docVars>
  <w:rsids>
    <w:rsidRoot w:val="000150F6"/>
    <w:rsid w:val="000150F6"/>
    <w:rsid w:val="00017CD5"/>
    <w:rsid w:val="00024274"/>
    <w:rsid w:val="000320E6"/>
    <w:rsid w:val="0004514F"/>
    <w:rsid w:val="00050CE3"/>
    <w:rsid w:val="00051F3F"/>
    <w:rsid w:val="00073234"/>
    <w:rsid w:val="00093541"/>
    <w:rsid w:val="000A13B8"/>
    <w:rsid w:val="000B00CF"/>
    <w:rsid w:val="000C3E02"/>
    <w:rsid w:val="000D6CCB"/>
    <w:rsid w:val="000E4B54"/>
    <w:rsid w:val="000E7E2D"/>
    <w:rsid w:val="000F6A59"/>
    <w:rsid w:val="0010670D"/>
    <w:rsid w:val="001139C0"/>
    <w:rsid w:val="00115DF5"/>
    <w:rsid w:val="00121218"/>
    <w:rsid w:val="00124AE8"/>
    <w:rsid w:val="00125039"/>
    <w:rsid w:val="001301B5"/>
    <w:rsid w:val="00171D24"/>
    <w:rsid w:val="00193617"/>
    <w:rsid w:val="001957DC"/>
    <w:rsid w:val="001961C1"/>
    <w:rsid w:val="001B59C4"/>
    <w:rsid w:val="001D762C"/>
    <w:rsid w:val="001E0B8F"/>
    <w:rsid w:val="001E6EA9"/>
    <w:rsid w:val="001F48B9"/>
    <w:rsid w:val="00206C15"/>
    <w:rsid w:val="00226D13"/>
    <w:rsid w:val="00232C70"/>
    <w:rsid w:val="0023493C"/>
    <w:rsid w:val="00243FC6"/>
    <w:rsid w:val="0024563C"/>
    <w:rsid w:val="00271881"/>
    <w:rsid w:val="00285D56"/>
    <w:rsid w:val="00287E5A"/>
    <w:rsid w:val="00290C45"/>
    <w:rsid w:val="002930B4"/>
    <w:rsid w:val="00293786"/>
    <w:rsid w:val="002B63F6"/>
    <w:rsid w:val="002B7B43"/>
    <w:rsid w:val="002D2D24"/>
    <w:rsid w:val="002D6AFB"/>
    <w:rsid w:val="00326392"/>
    <w:rsid w:val="00347462"/>
    <w:rsid w:val="003547DB"/>
    <w:rsid w:val="003552C9"/>
    <w:rsid w:val="00376971"/>
    <w:rsid w:val="00380172"/>
    <w:rsid w:val="00391315"/>
    <w:rsid w:val="003931A1"/>
    <w:rsid w:val="00396132"/>
    <w:rsid w:val="003B3B3E"/>
    <w:rsid w:val="003C411A"/>
    <w:rsid w:val="003D611D"/>
    <w:rsid w:val="003D67E0"/>
    <w:rsid w:val="003E350E"/>
    <w:rsid w:val="003E7B43"/>
    <w:rsid w:val="003F737A"/>
    <w:rsid w:val="00406483"/>
    <w:rsid w:val="00411304"/>
    <w:rsid w:val="00411A3A"/>
    <w:rsid w:val="00445B76"/>
    <w:rsid w:val="00447A1E"/>
    <w:rsid w:val="00470BFD"/>
    <w:rsid w:val="004711B6"/>
    <w:rsid w:val="00485A23"/>
    <w:rsid w:val="00487CA8"/>
    <w:rsid w:val="00487CEC"/>
    <w:rsid w:val="004A6AB9"/>
    <w:rsid w:val="004C4C1B"/>
    <w:rsid w:val="004C578B"/>
    <w:rsid w:val="004C5F8A"/>
    <w:rsid w:val="004D08A9"/>
    <w:rsid w:val="004D128B"/>
    <w:rsid w:val="004E0646"/>
    <w:rsid w:val="004F0384"/>
    <w:rsid w:val="00503222"/>
    <w:rsid w:val="0052656E"/>
    <w:rsid w:val="00530EBF"/>
    <w:rsid w:val="005821D5"/>
    <w:rsid w:val="00584216"/>
    <w:rsid w:val="005918A1"/>
    <w:rsid w:val="0059371D"/>
    <w:rsid w:val="005C6222"/>
    <w:rsid w:val="005D3380"/>
    <w:rsid w:val="005E7387"/>
    <w:rsid w:val="005F090A"/>
    <w:rsid w:val="005F0E0C"/>
    <w:rsid w:val="005F3D82"/>
    <w:rsid w:val="005F6B9B"/>
    <w:rsid w:val="00617E4C"/>
    <w:rsid w:val="00631A4A"/>
    <w:rsid w:val="0063257F"/>
    <w:rsid w:val="00642E9F"/>
    <w:rsid w:val="006431D6"/>
    <w:rsid w:val="00644DAC"/>
    <w:rsid w:val="00670268"/>
    <w:rsid w:val="00683618"/>
    <w:rsid w:val="006C7076"/>
    <w:rsid w:val="006E3037"/>
    <w:rsid w:val="006E3148"/>
    <w:rsid w:val="006E3DDB"/>
    <w:rsid w:val="006E7D79"/>
    <w:rsid w:val="006F7EBB"/>
    <w:rsid w:val="00714046"/>
    <w:rsid w:val="007150DB"/>
    <w:rsid w:val="0072735B"/>
    <w:rsid w:val="00745372"/>
    <w:rsid w:val="00745F5C"/>
    <w:rsid w:val="00755379"/>
    <w:rsid w:val="00762AC1"/>
    <w:rsid w:val="00770DD9"/>
    <w:rsid w:val="007717D1"/>
    <w:rsid w:val="00773D3B"/>
    <w:rsid w:val="00787417"/>
    <w:rsid w:val="0079346E"/>
    <w:rsid w:val="007954DE"/>
    <w:rsid w:val="0079570A"/>
    <w:rsid w:val="007976F9"/>
    <w:rsid w:val="007B6514"/>
    <w:rsid w:val="007C36E9"/>
    <w:rsid w:val="007C471C"/>
    <w:rsid w:val="007C4838"/>
    <w:rsid w:val="007D207C"/>
    <w:rsid w:val="007E404C"/>
    <w:rsid w:val="007F037F"/>
    <w:rsid w:val="008105A9"/>
    <w:rsid w:val="00841375"/>
    <w:rsid w:val="00860487"/>
    <w:rsid w:val="00860A42"/>
    <w:rsid w:val="008627DE"/>
    <w:rsid w:val="00864ABF"/>
    <w:rsid w:val="008701B6"/>
    <w:rsid w:val="00875496"/>
    <w:rsid w:val="00884717"/>
    <w:rsid w:val="00896F3E"/>
    <w:rsid w:val="008A1B38"/>
    <w:rsid w:val="008A6A14"/>
    <w:rsid w:val="008B7372"/>
    <w:rsid w:val="008C34D9"/>
    <w:rsid w:val="008C5C94"/>
    <w:rsid w:val="008D1B66"/>
    <w:rsid w:val="008D40F3"/>
    <w:rsid w:val="008D53DE"/>
    <w:rsid w:val="008D63DE"/>
    <w:rsid w:val="008E0A78"/>
    <w:rsid w:val="008F3A67"/>
    <w:rsid w:val="00900723"/>
    <w:rsid w:val="00902C39"/>
    <w:rsid w:val="0091191E"/>
    <w:rsid w:val="00912D3B"/>
    <w:rsid w:val="009243D5"/>
    <w:rsid w:val="009341A8"/>
    <w:rsid w:val="00943947"/>
    <w:rsid w:val="009538F0"/>
    <w:rsid w:val="00955D97"/>
    <w:rsid w:val="00956C92"/>
    <w:rsid w:val="0096326C"/>
    <w:rsid w:val="0097166D"/>
    <w:rsid w:val="00982997"/>
    <w:rsid w:val="00984EB0"/>
    <w:rsid w:val="009A27B7"/>
    <w:rsid w:val="009A7640"/>
    <w:rsid w:val="009C0C0D"/>
    <w:rsid w:val="009F3479"/>
    <w:rsid w:val="00A14C5B"/>
    <w:rsid w:val="00A4300A"/>
    <w:rsid w:val="00A52E85"/>
    <w:rsid w:val="00A56948"/>
    <w:rsid w:val="00A71579"/>
    <w:rsid w:val="00A71937"/>
    <w:rsid w:val="00A72DB3"/>
    <w:rsid w:val="00A95A02"/>
    <w:rsid w:val="00A96AA4"/>
    <w:rsid w:val="00AA31E4"/>
    <w:rsid w:val="00AA697E"/>
    <w:rsid w:val="00AE6A46"/>
    <w:rsid w:val="00AE6DB6"/>
    <w:rsid w:val="00AF412B"/>
    <w:rsid w:val="00AF5089"/>
    <w:rsid w:val="00AF6A19"/>
    <w:rsid w:val="00B1304A"/>
    <w:rsid w:val="00B16F94"/>
    <w:rsid w:val="00B4043A"/>
    <w:rsid w:val="00B40CF6"/>
    <w:rsid w:val="00B648BA"/>
    <w:rsid w:val="00B709D6"/>
    <w:rsid w:val="00B86427"/>
    <w:rsid w:val="00BA216A"/>
    <w:rsid w:val="00BA7DB7"/>
    <w:rsid w:val="00BD508B"/>
    <w:rsid w:val="00BF28CD"/>
    <w:rsid w:val="00BF50C0"/>
    <w:rsid w:val="00C01A6E"/>
    <w:rsid w:val="00C3348B"/>
    <w:rsid w:val="00C44265"/>
    <w:rsid w:val="00C6119C"/>
    <w:rsid w:val="00CA0BBC"/>
    <w:rsid w:val="00CA622A"/>
    <w:rsid w:val="00CA657D"/>
    <w:rsid w:val="00CB00DC"/>
    <w:rsid w:val="00CB3096"/>
    <w:rsid w:val="00CC4AE1"/>
    <w:rsid w:val="00CE35CF"/>
    <w:rsid w:val="00CE7B78"/>
    <w:rsid w:val="00D14173"/>
    <w:rsid w:val="00D21F30"/>
    <w:rsid w:val="00D378B1"/>
    <w:rsid w:val="00D81182"/>
    <w:rsid w:val="00D83804"/>
    <w:rsid w:val="00D85D08"/>
    <w:rsid w:val="00D87555"/>
    <w:rsid w:val="00D914E5"/>
    <w:rsid w:val="00DA0C9D"/>
    <w:rsid w:val="00DA5AAB"/>
    <w:rsid w:val="00DC4DD0"/>
    <w:rsid w:val="00DD1243"/>
    <w:rsid w:val="00E00982"/>
    <w:rsid w:val="00E178FA"/>
    <w:rsid w:val="00E26061"/>
    <w:rsid w:val="00E35872"/>
    <w:rsid w:val="00E41CE4"/>
    <w:rsid w:val="00E4261D"/>
    <w:rsid w:val="00E44D4A"/>
    <w:rsid w:val="00E6132B"/>
    <w:rsid w:val="00E75670"/>
    <w:rsid w:val="00E87F79"/>
    <w:rsid w:val="00E96EA5"/>
    <w:rsid w:val="00EB3308"/>
    <w:rsid w:val="00EB5E9B"/>
    <w:rsid w:val="00EC6956"/>
    <w:rsid w:val="00ED1095"/>
    <w:rsid w:val="00F0769E"/>
    <w:rsid w:val="00F203F9"/>
    <w:rsid w:val="00F414F3"/>
    <w:rsid w:val="00F42AFD"/>
    <w:rsid w:val="00F45A0C"/>
    <w:rsid w:val="00F67876"/>
    <w:rsid w:val="00F67BAC"/>
    <w:rsid w:val="00F7093F"/>
    <w:rsid w:val="00F74A98"/>
    <w:rsid w:val="00F91FC8"/>
    <w:rsid w:val="00FB18A7"/>
    <w:rsid w:val="00FB685B"/>
    <w:rsid w:val="00FD7E0D"/>
    <w:rsid w:val="00FE1AF8"/>
    <w:rsid w:val="30F65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9"/>
    <w:semiHidden/>
    <w:unhideWhenUsed/>
    <w:qFormat/>
    <w:uiPriority w:val="99"/>
    <w:pPr>
      <w:jc w:val="left"/>
    </w:pPr>
    <w:rPr>
      <w:rFonts w:asciiTheme="minorHAnsi" w:hAnsiTheme="minorHAnsi" w:eastAsiaTheme="minorEastAsia"/>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annotation subject"/>
    <w:basedOn w:val="2"/>
    <w:next w:val="2"/>
    <w:link w:val="12"/>
    <w:semiHidden/>
    <w:unhideWhenUsed/>
    <w:uiPriority w:val="99"/>
    <w:rPr>
      <w:rFonts w:ascii="Times New Roman" w:hAnsi="Times New Roman" w:eastAsia="宋体"/>
      <w:b/>
      <w:bCs/>
    </w:rPr>
  </w:style>
  <w:style w:type="character" w:styleId="8">
    <w:name w:val="annotation reference"/>
    <w:basedOn w:val="7"/>
    <w:unhideWhenUsed/>
    <w:qFormat/>
    <w:uiPriority w:val="0"/>
    <w:rPr>
      <w:sz w:val="21"/>
      <w:szCs w:val="21"/>
    </w:rPr>
  </w:style>
  <w:style w:type="character" w:customStyle="1" w:styleId="9">
    <w:name w:val="批注文字 字符"/>
    <w:basedOn w:val="7"/>
    <w:link w:val="2"/>
    <w:semiHidden/>
    <w:qFormat/>
    <w:uiPriority w:val="99"/>
    <w:rPr>
      <w:rFonts w:asciiTheme="minorHAnsi" w:hAnsiTheme="minorHAnsi" w:eastAsiaTheme="minorEastAsia"/>
    </w:rPr>
  </w:style>
  <w:style w:type="character" w:customStyle="1" w:styleId="10">
    <w:name w:val="页眉 字符"/>
    <w:basedOn w:val="7"/>
    <w:link w:val="4"/>
    <w:uiPriority w:val="99"/>
    <w:rPr>
      <w:sz w:val="18"/>
      <w:szCs w:val="18"/>
    </w:rPr>
  </w:style>
  <w:style w:type="character" w:customStyle="1" w:styleId="11">
    <w:name w:val="页脚 字符"/>
    <w:basedOn w:val="7"/>
    <w:link w:val="3"/>
    <w:qFormat/>
    <w:uiPriority w:val="99"/>
    <w:rPr>
      <w:sz w:val="18"/>
      <w:szCs w:val="18"/>
    </w:rPr>
  </w:style>
  <w:style w:type="character" w:customStyle="1" w:styleId="12">
    <w:name w:val="批注主题 字符"/>
    <w:basedOn w:val="9"/>
    <w:link w:val="5"/>
    <w:semiHidden/>
    <w:qFormat/>
    <w:uiPriority w:val="99"/>
    <w:rPr>
      <w:rFonts w:asciiTheme="minorHAnsi" w:hAnsiTheme="minorHAnsi" w:eastAsiaTheme="minorEastAsia"/>
      <w:b/>
      <w:bC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13</Pages>
  <Words>5769</Words>
  <Characters>5769</Characters>
  <Lines>41</Lines>
  <Paragraphs>11</Paragraphs>
  <TotalTime>1787</TotalTime>
  <ScaleCrop>false</ScaleCrop>
  <LinksUpToDate>false</LinksUpToDate>
  <CharactersWithSpaces>5817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2022-08-30T08:07:00Z</dcterms:created>
  <dc:creator>tysy_lhk@126.com</dc:creator>
  <cp:lastModifiedBy>admin</cp:lastModifiedBy>
  <dcterms:modified xsi:type="dcterms:W3CDTF">2022-09-19T02:02:33Z</dcterms:modified>
  <cp:revision>226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54DCA39B4CE64F4D9D80FB9410FB8ACB</vt:lpwstr>
  </property>
</Properties>
</file>